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722FC" w14:textId="77777777" w:rsidR="00B12AC0" w:rsidRPr="00FC2828" w:rsidRDefault="00B12AC0" w:rsidP="00F228C2">
      <w:pPr>
        <w:pStyle w:val="HeaderWahana"/>
        <w:pBdr>
          <w:bottom w:val="single" w:sz="18" w:space="0" w:color="auto"/>
        </w:pBdr>
        <w:tabs>
          <w:tab w:val="clear" w:pos="9270"/>
          <w:tab w:val="clear" w:pos="9450"/>
        </w:tabs>
        <w:ind w:right="22"/>
        <w:rPr>
          <w:rFonts w:ascii="Times New Roman" w:hAnsi="Times New Roman"/>
          <w:noProof/>
          <w:sz w:val="2"/>
          <w:szCs w:val="2"/>
          <w:lang w:val="id-ID"/>
        </w:rPr>
      </w:pPr>
    </w:p>
    <w:p w14:paraId="3F2CD07A" w14:textId="6E30AA99" w:rsidR="00336CA3" w:rsidRDefault="00501EBD" w:rsidP="00FC61EB">
      <w:pPr>
        <w:spacing w:before="0" w:line="240" w:lineRule="auto"/>
        <w:ind w:right="22"/>
        <w:rPr>
          <w:b/>
          <w:noProof/>
          <w:sz w:val="32"/>
          <w:szCs w:val="24"/>
        </w:rPr>
      </w:pPr>
      <w:r w:rsidRPr="00501EBD">
        <w:rPr>
          <w:b/>
          <w:noProof/>
          <w:sz w:val="32"/>
          <w:szCs w:val="24"/>
        </w:rPr>
        <w:t>Perbedaan Tingkat Keterampilan Motorik Kasar antara Anak yang Aktif Mengikuti Ekstrakurikuler Olahraga dan yang Tidak Mengikuti di SDI Al-Chusnaini</w:t>
      </w:r>
    </w:p>
    <w:p w14:paraId="19FA3E6F" w14:textId="77777777" w:rsidR="00501EBD" w:rsidRPr="00FC2828" w:rsidRDefault="00501EBD" w:rsidP="00FC61EB">
      <w:pPr>
        <w:spacing w:before="0" w:line="240" w:lineRule="auto"/>
        <w:ind w:right="22"/>
        <w:rPr>
          <w:b/>
          <w:noProof/>
          <w:sz w:val="20"/>
          <w:lang w:val="id-ID"/>
        </w:rPr>
      </w:pPr>
    </w:p>
    <w:p w14:paraId="2B7AC56F" w14:textId="77777777" w:rsidR="008D5A3E" w:rsidRPr="00FC2828" w:rsidRDefault="008D5A3E" w:rsidP="008D5A3E">
      <w:pPr>
        <w:pStyle w:val="Wahanaauthor"/>
        <w:shd w:val="clear" w:color="auto" w:fill="D9D9D9"/>
        <w:spacing w:after="120" w:line="240" w:lineRule="auto"/>
        <w:ind w:right="22"/>
        <w:rPr>
          <w:rFonts w:ascii="Times New Roman" w:hAnsi="Times New Roman"/>
          <w:noProof/>
          <w:vertAlign w:val="superscript"/>
          <w:lang w:val="id-ID"/>
        </w:rPr>
      </w:pPr>
      <w:r>
        <w:rPr>
          <w:rFonts w:ascii="Times New Roman" w:hAnsi="Times New Roman"/>
          <w:noProof/>
          <w:lang w:val="id-ID"/>
        </w:rPr>
        <w:t>Noni Dewi Nur Julaikha</w:t>
      </w:r>
      <w:r w:rsidRPr="00FC2828">
        <w:rPr>
          <w:rFonts w:ascii="Times New Roman" w:hAnsi="Times New Roman"/>
          <w:noProof/>
          <w:vertAlign w:val="superscript"/>
          <w:lang w:val="id-ID"/>
        </w:rPr>
        <w:t>1</w:t>
      </w:r>
      <w:r w:rsidRPr="00FC2828">
        <w:rPr>
          <w:rFonts w:ascii="Times New Roman" w:hAnsi="Times New Roman"/>
          <w:noProof/>
          <w:lang w:val="id-ID"/>
        </w:rPr>
        <w:t xml:space="preserve">, </w:t>
      </w:r>
      <w:r>
        <w:rPr>
          <w:rFonts w:ascii="Times New Roman" w:hAnsi="Times New Roman"/>
          <w:noProof/>
          <w:lang w:val="id-ID"/>
        </w:rPr>
        <w:t>Roy Januardi Irawan</w:t>
      </w:r>
      <w:r w:rsidRPr="00FC2828">
        <w:rPr>
          <w:rFonts w:ascii="Times New Roman" w:hAnsi="Times New Roman"/>
          <w:noProof/>
          <w:vertAlign w:val="superscript"/>
          <w:lang w:val="id-ID"/>
        </w:rPr>
        <w:t>2</w:t>
      </w:r>
      <w:r w:rsidRPr="00FC2828">
        <w:rPr>
          <w:rFonts w:ascii="Times New Roman" w:hAnsi="Times New Roman"/>
          <w:noProof/>
          <w:lang w:val="id-ID"/>
        </w:rPr>
        <w:t>,</w:t>
      </w:r>
      <w:r>
        <w:rPr>
          <w:rFonts w:ascii="PT Sans" w:hAnsi="PT Sans"/>
          <w:b w:val="0"/>
          <w:caps/>
          <w:color w:val="222222"/>
          <w:kern w:val="36"/>
          <w:sz w:val="33"/>
          <w:szCs w:val="33"/>
          <w:lang w:val="en-ID" w:eastAsia="en-ID"/>
        </w:rPr>
        <w:t xml:space="preserve"> </w:t>
      </w:r>
      <w:r w:rsidRPr="006B231F">
        <w:rPr>
          <w:noProof/>
          <w:lang w:val="en-ID"/>
        </w:rPr>
        <w:t>Pudjijuniarto</w:t>
      </w:r>
      <w:r>
        <w:rPr>
          <w:rFonts w:ascii="Times New Roman" w:hAnsi="Times New Roman"/>
          <w:noProof/>
          <w:vertAlign w:val="superscript"/>
          <w:lang w:val="id-ID"/>
        </w:rPr>
        <w:t>3</w:t>
      </w:r>
    </w:p>
    <w:p w14:paraId="1FF50380" w14:textId="77777777" w:rsidR="008D5A3E" w:rsidRPr="006B231F" w:rsidRDefault="008D5A3E" w:rsidP="008D5A3E">
      <w:pPr>
        <w:pStyle w:val="Wahanaauthor"/>
        <w:shd w:val="clear" w:color="auto" w:fill="D9D9D9"/>
        <w:spacing w:after="120" w:line="240" w:lineRule="auto"/>
        <w:ind w:right="22"/>
        <w:rPr>
          <w:noProof/>
          <w:lang w:val="en-ID"/>
        </w:rPr>
      </w:pPr>
      <w:r w:rsidRPr="006B231F">
        <w:rPr>
          <w:noProof/>
          <w:lang w:val="en-ID"/>
        </w:rPr>
        <w:t>Dita Yuliastrid</w:t>
      </w:r>
      <w:r>
        <w:rPr>
          <w:rFonts w:ascii="Times New Roman" w:hAnsi="Times New Roman"/>
          <w:noProof/>
          <w:vertAlign w:val="superscript"/>
          <w:lang w:val="id-ID"/>
        </w:rPr>
        <w:t>4</w:t>
      </w:r>
      <w:r>
        <w:rPr>
          <w:noProof/>
          <w:lang w:val="en-ID"/>
        </w:rPr>
        <w:t xml:space="preserve">, </w:t>
      </w:r>
      <w:r>
        <w:rPr>
          <w:rFonts w:ascii="Times New Roman" w:hAnsi="Times New Roman"/>
          <w:noProof/>
          <w:lang w:val="id-ID"/>
        </w:rPr>
        <w:t>Yudi Dwi Saputra</w:t>
      </w:r>
      <w:r>
        <w:rPr>
          <w:rFonts w:ascii="Times New Roman" w:hAnsi="Times New Roman"/>
          <w:noProof/>
          <w:vertAlign w:val="superscript"/>
          <w:lang w:val="id-ID"/>
        </w:rPr>
        <w:t>5</w:t>
      </w:r>
    </w:p>
    <w:p w14:paraId="1594069E" w14:textId="2068220F" w:rsidR="008D5A3E" w:rsidRPr="00FC2828" w:rsidRDefault="008D5A3E" w:rsidP="008D5A3E">
      <w:pPr>
        <w:shd w:val="clear" w:color="auto" w:fill="D9D9D9"/>
        <w:spacing w:before="0" w:line="240" w:lineRule="auto"/>
        <w:ind w:right="22"/>
        <w:jc w:val="left"/>
        <w:rPr>
          <w:i/>
          <w:noProof/>
          <w:sz w:val="20"/>
          <w:lang w:val="id-ID"/>
        </w:rPr>
      </w:pPr>
      <w:r w:rsidRPr="00FC2828">
        <w:rPr>
          <w:i/>
          <w:noProof/>
          <w:sz w:val="20"/>
          <w:vertAlign w:val="superscript"/>
          <w:lang w:val="id-ID"/>
        </w:rPr>
        <w:t>1</w:t>
      </w:r>
      <w:r w:rsidR="00AE4DB3">
        <w:rPr>
          <w:i/>
          <w:noProof/>
          <w:sz w:val="20"/>
          <w:vertAlign w:val="superscript"/>
          <w:lang w:val="id-ID"/>
        </w:rPr>
        <w:t>,2,3,4,5</w:t>
      </w:r>
      <w:r w:rsidR="00B604AD" w:rsidRPr="00B604AD">
        <w:t xml:space="preserve"> </w:t>
      </w:r>
      <w:r w:rsidR="00B604AD" w:rsidRPr="00B604AD">
        <w:rPr>
          <w:i/>
          <w:noProof/>
          <w:sz w:val="20"/>
        </w:rPr>
        <w:t>Department of Sport Science, Universitas Negeri Surabaya, Indonesia.</w:t>
      </w:r>
    </w:p>
    <w:p w14:paraId="758AB8AA" w14:textId="11C51D87" w:rsidR="00D05E63" w:rsidRPr="00FC2828" w:rsidRDefault="008D5A3E" w:rsidP="008D5A3E">
      <w:pPr>
        <w:shd w:val="clear" w:color="auto" w:fill="D9D9D9"/>
        <w:spacing w:before="0" w:line="240" w:lineRule="auto"/>
        <w:ind w:right="22"/>
        <w:jc w:val="left"/>
        <w:rPr>
          <w:rStyle w:val="Hyperlink"/>
          <w:i/>
          <w:noProof/>
          <w:color w:val="auto"/>
          <w:sz w:val="20"/>
          <w:lang w:val="id-ID"/>
        </w:rPr>
      </w:pPr>
      <w:r w:rsidRPr="00FC2828">
        <w:rPr>
          <w:i/>
          <w:noProof/>
          <w:sz w:val="20"/>
          <w:lang w:val="id-ID"/>
        </w:rPr>
        <w:t xml:space="preserve">*Corresponding author: </w:t>
      </w:r>
      <w:hyperlink r:id="rId8" w:history="1">
        <w:r w:rsidRPr="00951723">
          <w:rPr>
            <w:rStyle w:val="Hyperlink"/>
            <w:i/>
            <w:noProof/>
            <w:sz w:val="20"/>
            <w:lang w:val="id-ID"/>
          </w:rPr>
          <w:t>noni.22045@mhs.unesa.ac.id</w:t>
        </w:r>
      </w:hyperlink>
    </w:p>
    <w:p w14:paraId="65DB5076" w14:textId="77777777" w:rsidR="005E28F6" w:rsidRPr="00FC2828" w:rsidRDefault="005E28F6" w:rsidP="00346DD8">
      <w:pPr>
        <w:shd w:val="clear" w:color="auto" w:fill="D9D9D9"/>
        <w:spacing w:before="0" w:line="240" w:lineRule="auto"/>
        <w:ind w:right="22"/>
        <w:jc w:val="left"/>
        <w:rPr>
          <w:i/>
          <w:noProof/>
          <w:sz w:val="18"/>
          <w:szCs w:val="18"/>
          <w:vertAlign w:val="superscript"/>
          <w:lang w:val="id-ID"/>
        </w:rPr>
      </w:pPr>
    </w:p>
    <w:p w14:paraId="29AA9EB4" w14:textId="77777777" w:rsidR="002966F5" w:rsidRPr="00FC2828" w:rsidRDefault="002966F5" w:rsidP="005E28F6">
      <w:pPr>
        <w:pStyle w:val="author"/>
        <w:pBdr>
          <w:bottom w:val="single" w:sz="4" w:space="1" w:color="auto"/>
        </w:pBdr>
        <w:spacing w:line="240" w:lineRule="auto"/>
        <w:ind w:right="22"/>
        <w:jc w:val="both"/>
        <w:rPr>
          <w:noProof/>
          <w:sz w:val="18"/>
          <w:szCs w:val="18"/>
          <w:lang w:val="id-ID"/>
        </w:rPr>
      </w:pPr>
    </w:p>
    <w:p w14:paraId="0B5CF972" w14:textId="5770757A" w:rsidR="00431087" w:rsidRPr="00FC2828" w:rsidRDefault="00431087" w:rsidP="00431087">
      <w:pPr>
        <w:pStyle w:val="abstract"/>
        <w:spacing w:line="240" w:lineRule="auto"/>
        <w:ind w:right="22"/>
        <w:jc w:val="center"/>
        <w:rPr>
          <w:b/>
          <w:i w:val="0"/>
          <w:iCs/>
          <w:noProof/>
          <w:sz w:val="20"/>
          <w:lang w:val="id-ID"/>
        </w:rPr>
      </w:pPr>
      <w:r w:rsidRPr="00FC2828">
        <w:rPr>
          <w:b/>
          <w:i w:val="0"/>
          <w:iCs/>
          <w:noProof/>
          <w:sz w:val="20"/>
          <w:lang w:val="id-ID"/>
        </w:rPr>
        <w:t>Abstrak</w:t>
      </w:r>
    </w:p>
    <w:p w14:paraId="6A47E40E" w14:textId="2A3CB264" w:rsidR="007D3B57" w:rsidRDefault="007D3B57" w:rsidP="00EF7BF2">
      <w:pPr>
        <w:pStyle w:val="abstract"/>
        <w:spacing w:before="0" w:line="240" w:lineRule="auto"/>
        <w:ind w:left="0" w:right="22"/>
        <w:rPr>
          <w:bCs/>
          <w:i w:val="0"/>
          <w:iCs/>
          <w:noProof/>
          <w:sz w:val="20"/>
        </w:rPr>
      </w:pPr>
      <w:r w:rsidRPr="007D3B57">
        <w:rPr>
          <w:bCs/>
          <w:i w:val="0"/>
          <w:iCs/>
          <w:noProof/>
          <w:sz w:val="20"/>
        </w:rPr>
        <w:t xml:space="preserve">Perkembangan keterampilan motorik kasar pada anak usia sekolah dasar merupakan </w:t>
      </w:r>
      <w:r w:rsidR="006A680E" w:rsidRPr="006A680E">
        <w:rPr>
          <w:bCs/>
          <w:i w:val="0"/>
          <w:iCs/>
          <w:noProof/>
          <w:sz w:val="20"/>
        </w:rPr>
        <w:t>fondasi penting bagi kebugaran jasmani, koordinasi, serta partisipasi fisik anak di masa mendatang</w:t>
      </w:r>
      <w:r w:rsidRPr="007D3B57">
        <w:rPr>
          <w:bCs/>
          <w:i w:val="0"/>
          <w:iCs/>
          <w:noProof/>
          <w:sz w:val="20"/>
        </w:rPr>
        <w:t xml:space="preserve">. Penelitian ini bertujuan untuk menganalisis perbedaan tingkat keterampilan motorik kasar antara anak yang aktif mengikuti kegiatan ekstrakurikuler olahraga dan yang tidak mengikuti di SDI Al-Chusnaini. Penelitian menggunakan metode kuantitatif komparatif dengan desain potong lintang </w:t>
      </w:r>
      <w:r w:rsidRPr="00BD732A">
        <w:rPr>
          <w:bCs/>
          <w:noProof/>
          <w:sz w:val="20"/>
        </w:rPr>
        <w:t>(cross-sectional)</w:t>
      </w:r>
      <w:r w:rsidRPr="007D3B57">
        <w:rPr>
          <w:bCs/>
          <w:i w:val="0"/>
          <w:iCs/>
          <w:noProof/>
          <w:sz w:val="20"/>
        </w:rPr>
        <w:t xml:space="preserve">. Populasi terdiri dari 123 siswa kelas IV–VI berusia 9–12 tahun, yang dibagi menjadi dua kelompok: aktif ekstrakurikuler olahraga (n = 64) dan tidak aktif (n = 59). Instrumen pengukuran menggunakan Test of Gross Motor Development–2 (TGMD-2), mencakup dua subtes: lokomotor dan kontrol objek. Analisis data meliputi uji normalitas, homogenitas, dan t-test independen pada taraf signifikansi p &lt; 0,05. Hasil menunjukkan adanya perbedaan signifikan dalam skor Gross Motor </w:t>
      </w:r>
      <w:r w:rsidRPr="00BD732A">
        <w:rPr>
          <w:bCs/>
          <w:noProof/>
          <w:sz w:val="20"/>
        </w:rPr>
        <w:t>Quotient (GMQ)</w:t>
      </w:r>
      <w:r w:rsidRPr="007D3B57">
        <w:rPr>
          <w:bCs/>
          <w:i w:val="0"/>
          <w:iCs/>
          <w:noProof/>
          <w:sz w:val="20"/>
        </w:rPr>
        <w:t xml:space="preserve"> antara kelompok aktif (92,1 ± 8,3) dan kelompok tidak aktif (83,7 ± 9,1), p &lt; 0,001. Perbedaan ini menunjukkan bahwa keterlibatan dalam ekstrakurikuler olahraga berpengaruh positif terhadap kemampuan motorik kasar anak. Kesimpulan penelitian ini menegaskan pentingnya aktivitas fisik terstruktur dalam pengembangan keterampilan motorik dasar di lingkungan sekolah dasar. Sekolah disarankan untuk memperluas program ekstrakurikuler olahraga agar dapat meningkatkan kemampuan motorik kasar seluruh siswa.</w:t>
      </w:r>
    </w:p>
    <w:p w14:paraId="507D3B15" w14:textId="10FC8E32" w:rsidR="00431087" w:rsidRDefault="00431087" w:rsidP="00EF7BF2">
      <w:pPr>
        <w:pStyle w:val="abstract"/>
        <w:spacing w:before="0" w:line="240" w:lineRule="auto"/>
        <w:ind w:left="0" w:right="22"/>
        <w:rPr>
          <w:bCs/>
          <w:i w:val="0"/>
          <w:iCs/>
          <w:noProof/>
          <w:sz w:val="20"/>
        </w:rPr>
      </w:pPr>
      <w:r w:rsidRPr="00FC2828">
        <w:rPr>
          <w:b/>
          <w:i w:val="0"/>
          <w:iCs/>
          <w:noProof/>
          <w:sz w:val="20"/>
          <w:lang w:val="id-ID"/>
        </w:rPr>
        <w:t>Kata Kunci</w:t>
      </w:r>
      <w:r w:rsidRPr="00FC2828">
        <w:rPr>
          <w:bCs/>
          <w:i w:val="0"/>
          <w:iCs/>
          <w:noProof/>
          <w:sz w:val="20"/>
          <w:lang w:val="id-ID"/>
        </w:rPr>
        <w:t xml:space="preserve">: </w:t>
      </w:r>
      <w:r w:rsidR="007D3B57" w:rsidRPr="007D3B57">
        <w:rPr>
          <w:bCs/>
          <w:i w:val="0"/>
          <w:iCs/>
          <w:noProof/>
          <w:sz w:val="20"/>
        </w:rPr>
        <w:t>keterampilan motorik kasar, TGMD-2, ekstrakurikuler olahraga, anak sekolah dasar, aktivitas fisik</w:t>
      </w:r>
      <w:r w:rsidR="007D3B57">
        <w:rPr>
          <w:bCs/>
          <w:i w:val="0"/>
          <w:iCs/>
          <w:noProof/>
          <w:sz w:val="20"/>
        </w:rPr>
        <w:t>.</w:t>
      </w:r>
    </w:p>
    <w:p w14:paraId="2F751E25" w14:textId="77777777" w:rsidR="007D3B57" w:rsidRPr="00FC2828" w:rsidRDefault="007D3B57" w:rsidP="00EF7BF2">
      <w:pPr>
        <w:pStyle w:val="abstract"/>
        <w:spacing w:before="0" w:line="240" w:lineRule="auto"/>
        <w:ind w:left="0" w:right="22"/>
        <w:rPr>
          <w:bCs/>
          <w:i w:val="0"/>
          <w:iCs/>
          <w:noProof/>
          <w:sz w:val="20"/>
          <w:lang w:val="id-ID"/>
        </w:rPr>
      </w:pPr>
    </w:p>
    <w:p w14:paraId="11971F15" w14:textId="2E536603" w:rsidR="006D5CCE" w:rsidRPr="00FC2828" w:rsidRDefault="00DA4CF8" w:rsidP="00EF7BF2">
      <w:pPr>
        <w:pStyle w:val="abstract"/>
        <w:spacing w:before="0" w:line="240" w:lineRule="auto"/>
        <w:ind w:left="0" w:right="22"/>
        <w:jc w:val="center"/>
        <w:rPr>
          <w:b/>
          <w:noProof/>
          <w:sz w:val="20"/>
          <w:lang w:val="id-ID"/>
        </w:rPr>
      </w:pPr>
      <w:r w:rsidRPr="00FC2828">
        <w:rPr>
          <w:b/>
          <w:i w:val="0"/>
          <w:iCs/>
          <w:noProof/>
          <w:sz w:val="20"/>
          <w:lang w:val="id-ID"/>
        </w:rPr>
        <w:t>Abstract</w:t>
      </w:r>
    </w:p>
    <w:p w14:paraId="48402EED" w14:textId="688F01A5" w:rsidR="007D3B57" w:rsidRDefault="007D3B57" w:rsidP="00EF7BF2">
      <w:pPr>
        <w:pStyle w:val="abstract"/>
        <w:pBdr>
          <w:bottom w:val="single" w:sz="4" w:space="1" w:color="auto"/>
        </w:pBdr>
        <w:spacing w:before="0" w:line="240" w:lineRule="auto"/>
        <w:ind w:left="0" w:right="29"/>
        <w:rPr>
          <w:i w:val="0"/>
          <w:iCs/>
          <w:noProof/>
          <w:sz w:val="20"/>
        </w:rPr>
      </w:pPr>
      <w:r w:rsidRPr="007D3B57">
        <w:rPr>
          <w:i w:val="0"/>
          <w:iCs/>
          <w:noProof/>
          <w:sz w:val="20"/>
        </w:rPr>
        <w:t xml:space="preserve">The development of gross motor skills among elementary school children is a crucial foundation for physical fitness, coordination, and future participation in physical activities. This study aims to examine differences in gross motor skill levels between students who actively participate in </w:t>
      </w:r>
      <w:r w:rsidR="006A680E" w:rsidRPr="006A680E">
        <w:rPr>
          <w:i w:val="0"/>
          <w:iCs/>
          <w:noProof/>
          <w:sz w:val="20"/>
        </w:rPr>
        <w:t>extracurricular sports activities</w:t>
      </w:r>
      <w:r w:rsidRPr="007D3B57">
        <w:rPr>
          <w:i w:val="0"/>
          <w:iCs/>
          <w:noProof/>
          <w:sz w:val="20"/>
        </w:rPr>
        <w:t xml:space="preserve"> activities and those who do not at SDI Al-Chusnaini. A quantitative comparative approach with a cross-sectional design was used. The population consisted of 123 students aged 9–12 years from grades IV–VI, divided into two groups: active in sports extracurriculars (n = 64) and inactive (n = 59). The Test of Gross Motor Development–2 (TGMD-2) served as the main assessment instrument, encompassing two subtests: locomotor and object control. Data were analyzed using normality, homogeneity, and independent t-test procedures with a significance level of p &lt; 0.05. Results revealed a significant difference in Gross Motor Quotient (GMQ) scores between active (92.1 ± 8.3) and inactive groups (83.7 ± 9.1), p &lt; 0.001. These findings indicate that regular participation in structured extracurricular sports activities </w:t>
      </w:r>
      <w:r w:rsidR="00485909" w:rsidRPr="00485909">
        <w:rPr>
          <w:i w:val="0"/>
          <w:iCs/>
          <w:noProof/>
          <w:sz w:val="20"/>
        </w:rPr>
        <w:t>positively impact</w:t>
      </w:r>
      <w:r w:rsidRPr="007D3B57">
        <w:rPr>
          <w:i w:val="0"/>
          <w:iCs/>
          <w:noProof/>
          <w:sz w:val="20"/>
        </w:rPr>
        <w:t xml:space="preserve"> children’s gross motor competence. The study concludes that schools should strengthen and diversify extracurricular sports programs to promote optimal motor skill development among elementary school children.</w:t>
      </w:r>
    </w:p>
    <w:p w14:paraId="214BEE1D" w14:textId="77777777" w:rsidR="007D3B57" w:rsidRDefault="00887685" w:rsidP="007D3B57">
      <w:pPr>
        <w:pStyle w:val="abstract"/>
        <w:pBdr>
          <w:bottom w:val="single" w:sz="4" w:space="1" w:color="auto"/>
        </w:pBdr>
        <w:spacing w:before="0" w:line="240" w:lineRule="auto"/>
        <w:ind w:left="0" w:right="29"/>
        <w:rPr>
          <w:i w:val="0"/>
          <w:noProof/>
          <w:sz w:val="20"/>
        </w:rPr>
      </w:pPr>
      <w:r w:rsidRPr="00FC2828">
        <w:rPr>
          <w:rFonts w:eastAsia="Arial"/>
          <w:b/>
          <w:i w:val="0"/>
          <w:noProof/>
          <w:sz w:val="20"/>
          <w:lang w:val="id-ID"/>
        </w:rPr>
        <w:t>Keywords:</w:t>
      </w:r>
      <w:r w:rsidRPr="00FC2828">
        <w:rPr>
          <w:rFonts w:eastAsia="Arial"/>
          <w:i w:val="0"/>
          <w:noProof/>
          <w:sz w:val="20"/>
          <w:lang w:val="id-ID"/>
        </w:rPr>
        <w:t xml:space="preserve"> </w:t>
      </w:r>
      <w:r w:rsidR="007D3B57" w:rsidRPr="007D3B57">
        <w:rPr>
          <w:i w:val="0"/>
          <w:noProof/>
          <w:sz w:val="20"/>
        </w:rPr>
        <w:t>gross motor skills, TGMD-2, sports extracurricular, elementary school children, physical activity</w:t>
      </w:r>
    </w:p>
    <w:p w14:paraId="32225615" w14:textId="78FA7F9C" w:rsidR="005E28F6" w:rsidRPr="00FC2828" w:rsidRDefault="00243AC8" w:rsidP="007D3B57">
      <w:pPr>
        <w:pStyle w:val="abstract"/>
        <w:pBdr>
          <w:bottom w:val="single" w:sz="4" w:space="1" w:color="auto"/>
        </w:pBdr>
        <w:spacing w:before="0" w:line="240" w:lineRule="auto"/>
        <w:ind w:left="0" w:right="29"/>
        <w:rPr>
          <w:b/>
          <w:i w:val="0"/>
          <w:noProof/>
          <w:sz w:val="20"/>
          <w:lang w:val="id-ID"/>
        </w:rPr>
      </w:pPr>
      <w:r w:rsidRPr="00FC2828">
        <w:rPr>
          <w:b/>
          <w:i w:val="0"/>
          <w:noProof/>
          <w:sz w:val="20"/>
          <w:lang w:val="en-US" w:eastAsia="en-US"/>
        </w:rPr>
        <w:drawing>
          <wp:anchor distT="0" distB="0" distL="114300" distR="114300" simplePos="0" relativeHeight="251659264" behindDoc="1" locked="0" layoutInCell="1" allowOverlap="1" wp14:anchorId="7FC4D3AA" wp14:editId="07856B32">
            <wp:simplePos x="0" y="0"/>
            <wp:positionH relativeFrom="column">
              <wp:posOffset>5124450</wp:posOffset>
            </wp:positionH>
            <wp:positionV relativeFrom="paragraph">
              <wp:posOffset>24130</wp:posOffset>
            </wp:positionV>
            <wp:extent cx="546100" cy="194096"/>
            <wp:effectExtent l="0" t="0" r="6350" b="0"/>
            <wp:wrapNone/>
            <wp:docPr id="997299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194096"/>
                    </a:xfrm>
                    <a:prstGeom prst="rect">
                      <a:avLst/>
                    </a:prstGeom>
                    <a:noFill/>
                  </pic:spPr>
                </pic:pic>
              </a:graphicData>
            </a:graphic>
            <wp14:sizeRelH relativeFrom="margin">
              <wp14:pctWidth>0</wp14:pctWidth>
            </wp14:sizeRelH>
            <wp14:sizeRelV relativeFrom="margin">
              <wp14:pctHeight>0</wp14:pctHeight>
            </wp14:sizeRelV>
          </wp:anchor>
        </w:drawing>
      </w:r>
      <w:r w:rsidRPr="00FC2828">
        <w:rPr>
          <w:b/>
          <w:i w:val="0"/>
          <w:noProof/>
          <w:sz w:val="20"/>
          <w:lang w:val="id-ID"/>
        </w:rPr>
        <w:t xml:space="preserve">Copyright © 2025 </w:t>
      </w:r>
      <w:r w:rsidRPr="00FC2828">
        <w:rPr>
          <w:bCs/>
          <w:i w:val="0"/>
          <w:noProof/>
          <w:sz w:val="20"/>
          <w:lang w:val="id-ID"/>
        </w:rPr>
        <w:t>Author(s)</w:t>
      </w:r>
    </w:p>
    <w:tbl>
      <w:tblPr>
        <w:tblW w:w="6804" w:type="dxa"/>
        <w:jc w:val="center"/>
        <w:tblLook w:val="04A0" w:firstRow="1" w:lastRow="0" w:firstColumn="1" w:lastColumn="0" w:noHBand="0" w:noVBand="1"/>
      </w:tblPr>
      <w:tblGrid>
        <w:gridCol w:w="2268"/>
        <w:gridCol w:w="2268"/>
        <w:gridCol w:w="2268"/>
      </w:tblGrid>
      <w:tr w:rsidR="001D575A" w:rsidRPr="00FC2828" w14:paraId="3ED4DAAF" w14:textId="77777777" w:rsidTr="001D575A">
        <w:trPr>
          <w:trHeight w:val="113"/>
          <w:jc w:val="center"/>
        </w:trPr>
        <w:tc>
          <w:tcPr>
            <w:tcW w:w="2268" w:type="dxa"/>
            <w:shd w:val="clear" w:color="auto" w:fill="D9D9D9"/>
            <w:vAlign w:val="center"/>
          </w:tcPr>
          <w:p w14:paraId="09642A11" w14:textId="77777777" w:rsidR="001D575A" w:rsidRPr="00FC2828" w:rsidRDefault="001D575A" w:rsidP="00F04D5D">
            <w:pPr>
              <w:shd w:val="clear" w:color="auto" w:fill="D9D9D9"/>
              <w:spacing w:before="0" w:line="240" w:lineRule="auto"/>
              <w:jc w:val="center"/>
              <w:rPr>
                <w:rFonts w:ascii="Bell MT" w:eastAsia="Calibri" w:hAnsi="Bell MT"/>
                <w:bCs/>
                <w:noProof/>
                <w:sz w:val="20"/>
                <w:lang w:val="id-ID"/>
              </w:rPr>
            </w:pPr>
            <w:r w:rsidRPr="00FC2828">
              <w:rPr>
                <w:rFonts w:ascii="Bell MT" w:eastAsia="Calibri" w:hAnsi="Bell MT"/>
                <w:bCs/>
                <w:noProof/>
                <w:sz w:val="20"/>
                <w:lang w:val="id-ID"/>
              </w:rPr>
              <w:t>Received: xx mm yyyy</w:t>
            </w:r>
          </w:p>
        </w:tc>
        <w:tc>
          <w:tcPr>
            <w:tcW w:w="2268" w:type="dxa"/>
            <w:shd w:val="clear" w:color="auto" w:fill="D9D9D9"/>
            <w:vAlign w:val="center"/>
          </w:tcPr>
          <w:p w14:paraId="62AE8D0A" w14:textId="77777777" w:rsidR="001D575A" w:rsidRPr="00FC2828" w:rsidRDefault="001D575A" w:rsidP="00F04D5D">
            <w:pPr>
              <w:shd w:val="clear" w:color="auto" w:fill="D9D9D9"/>
              <w:spacing w:before="0" w:line="240" w:lineRule="auto"/>
              <w:jc w:val="center"/>
              <w:rPr>
                <w:rFonts w:ascii="Bell MT" w:eastAsia="Calibri" w:hAnsi="Bell MT"/>
                <w:bCs/>
                <w:noProof/>
                <w:sz w:val="20"/>
                <w:lang w:val="id-ID"/>
              </w:rPr>
            </w:pPr>
            <w:r w:rsidRPr="00FC2828">
              <w:rPr>
                <w:rFonts w:ascii="Bell MT" w:eastAsia="Calibri" w:hAnsi="Bell MT"/>
                <w:bCs/>
                <w:noProof/>
                <w:sz w:val="20"/>
                <w:lang w:val="id-ID"/>
              </w:rPr>
              <w:t>Revised: xx mm yyyy</w:t>
            </w:r>
          </w:p>
        </w:tc>
        <w:tc>
          <w:tcPr>
            <w:tcW w:w="2268" w:type="dxa"/>
            <w:shd w:val="clear" w:color="auto" w:fill="D9D9D9"/>
            <w:vAlign w:val="center"/>
          </w:tcPr>
          <w:p w14:paraId="5D65A1AE" w14:textId="77777777" w:rsidR="001D575A" w:rsidRPr="00FC2828" w:rsidRDefault="001D575A" w:rsidP="00F04D5D">
            <w:pPr>
              <w:shd w:val="clear" w:color="auto" w:fill="D9D9D9"/>
              <w:spacing w:before="0" w:line="240" w:lineRule="auto"/>
              <w:jc w:val="center"/>
              <w:rPr>
                <w:rFonts w:ascii="Bell MT" w:eastAsia="Calibri" w:hAnsi="Bell MT"/>
                <w:bCs/>
                <w:noProof/>
                <w:sz w:val="20"/>
                <w:lang w:val="id-ID"/>
              </w:rPr>
            </w:pPr>
            <w:r w:rsidRPr="00FC2828">
              <w:rPr>
                <w:rFonts w:ascii="Bell MT" w:eastAsia="Calibri" w:hAnsi="Bell MT"/>
                <w:bCs/>
                <w:noProof/>
                <w:sz w:val="20"/>
                <w:lang w:val="id-ID"/>
              </w:rPr>
              <w:t>Accepted: xx mm yyyy</w:t>
            </w:r>
            <w:r>
              <w:rPr>
                <w:rFonts w:ascii="Bell MT" w:eastAsia="Calibri" w:hAnsi="Bell MT"/>
                <w:bCs/>
                <w:noProof/>
                <w:sz w:val="20"/>
                <w:lang w:val="en-US"/>
              </w:rPr>
              <w:t xml:space="preserve"> </w:t>
            </w:r>
          </w:p>
        </w:tc>
      </w:tr>
    </w:tbl>
    <w:p w14:paraId="75879715" w14:textId="69C1E337" w:rsidR="005E28F6" w:rsidRPr="00FC2828" w:rsidRDefault="00243AC8" w:rsidP="00243AC8">
      <w:pPr>
        <w:pStyle w:val="abstract"/>
        <w:spacing w:before="60" w:after="60" w:line="240" w:lineRule="auto"/>
        <w:ind w:left="0" w:right="22"/>
        <w:rPr>
          <w:bCs/>
          <w:i w:val="0"/>
          <w:noProof/>
          <w:sz w:val="20"/>
          <w:lang w:val="id-ID"/>
        </w:rPr>
      </w:pPr>
      <w:r w:rsidRPr="00FC2828">
        <w:rPr>
          <w:b/>
          <w:i w:val="0"/>
          <w:noProof/>
          <w:sz w:val="20"/>
          <w:lang w:val="id-ID"/>
        </w:rPr>
        <w:t>Authors’ Contribution:</w:t>
      </w:r>
      <w:r w:rsidRPr="00FC2828">
        <w:rPr>
          <w:bCs/>
          <w:i w:val="0"/>
          <w:noProof/>
          <w:sz w:val="20"/>
          <w:lang w:val="id-ID"/>
        </w:rPr>
        <w:t xml:space="preserve"> </w:t>
      </w:r>
      <w:r w:rsidR="004B1E41" w:rsidRPr="00FC2828">
        <w:rPr>
          <w:bCs/>
          <w:i w:val="0"/>
          <w:noProof/>
          <w:sz w:val="20"/>
          <w:lang w:val="id-ID"/>
        </w:rPr>
        <w:t>A – Conceptualization; B – Methodology; C – Software; D – Validation; E - Formal analysis; F – Investigation; G – Resources; H - Data Curation; I - Writing - Original Draft; J - Writing - Review &amp; Editing;  K – Visualization; L – Supervision; M - Project administration; N - Funding acquisition</w:t>
      </w:r>
    </w:p>
    <w:p w14:paraId="41F3560F" w14:textId="77777777" w:rsidR="00243AC8" w:rsidRPr="00FC2828" w:rsidRDefault="00243AC8" w:rsidP="00FC61EB">
      <w:pPr>
        <w:pStyle w:val="abstract"/>
        <w:spacing w:before="0" w:line="240" w:lineRule="auto"/>
        <w:ind w:left="0" w:right="22"/>
        <w:rPr>
          <w:b/>
          <w:i w:val="0"/>
          <w:noProof/>
          <w:sz w:val="20"/>
          <w:lang w:val="id-ID"/>
        </w:rPr>
      </w:pPr>
    </w:p>
    <w:p w14:paraId="5D4861DA" w14:textId="4DD5F143" w:rsidR="00A91301" w:rsidRPr="00FC2828" w:rsidRDefault="00E949D6" w:rsidP="00B96618">
      <w:pPr>
        <w:pStyle w:val="Heading1"/>
        <w:spacing w:before="0" w:line="240" w:lineRule="auto"/>
        <w:ind w:right="29"/>
        <w:jc w:val="both"/>
        <w:rPr>
          <w:caps w:val="0"/>
          <w:noProof/>
          <w:szCs w:val="24"/>
          <w:lang w:val="id-ID"/>
        </w:rPr>
      </w:pPr>
      <w:r w:rsidRPr="00FC2828">
        <w:rPr>
          <w:caps w:val="0"/>
          <w:noProof/>
          <w:szCs w:val="24"/>
          <w:lang w:val="id-ID"/>
        </w:rPr>
        <w:t>PENDAHULUAN</w:t>
      </w:r>
    </w:p>
    <w:p w14:paraId="40C758B4" w14:textId="64D499D4"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Perkembangan motorik kasar pada anak usia sekolah dasar merupakan aspek fundamental dalam pendidikan jasmani dan kesehatan anak</w:t>
      </w:r>
      <w:r w:rsidR="00736009">
        <w:rPr>
          <w:rFonts w:eastAsia="MS Mincho"/>
          <w:szCs w:val="24"/>
          <w:lang w:val="en-ID" w:eastAsia="en-US"/>
        </w:rPr>
        <w:t xml:space="preserve"> </w:t>
      </w:r>
      <w:r w:rsidR="00736009">
        <w:rPr>
          <w:rFonts w:eastAsia="MS Mincho"/>
          <w:szCs w:val="24"/>
          <w:lang w:val="en-ID" w:eastAsia="en-US"/>
        </w:rPr>
        <w:fldChar w:fldCharType="begin" w:fldLock="1"/>
      </w:r>
      <w:r w:rsidR="00736009">
        <w:rPr>
          <w:rFonts w:eastAsia="MS Mincho"/>
          <w:szCs w:val="24"/>
          <w:lang w:val="en-ID" w:eastAsia="en-US"/>
        </w:rPr>
        <w:instrText>ADDIN CSL_CITATION {"citationItems":[{"id":"ITEM-1","itemData":{"abstract":"Previous empirical research and reviews have suggested that the level of fundamental movement skills (FMS), motor competence (MC), physical activity (PA), or physical fitness seem to directly influence the executive functions (EFs) in school aged children. However, there is no available comprehensive review of whether the exact links between motor constructs and EFs also exist in the preschool period, even though preschool age is the critical period for developing EFs. Therefore, this study aimed to systematically review the evidence on the association between FMS, MC, PA, PF, and EFs. To conduct the systematic review, we utilized searches using Web of Science, PubMed, and EBSCO (including SPORTDiscus and Academic Search Premier). We included studies that examined associations between one or all of the four motor constructs with EFs among typically developing children aged 3–6 years, published between January 2010 and October 2021. A total of 15 studies met the inclusion criteria, of which four were randomized controlled trials, three were longitudinal studies, four were cohort studies, and four were cross-sectional studies. We found weak correlations or insufficient evidence for associations between FMS, PA, PF, and EFs. However, there was strong evidence for a moderately strong association between MC and working memory, a moderately weak association between MC and inhibition, and inadequate evidence for a weak to moderate association between MC and shifting. In addition, only half of the included studies were methodologically high-quality studies. Specifically, a questionable design selection of research samples might bias the strength of evaluated associations. We also found significant diversity in the diagnostic tools used for assessing and measuring motor and EFs domains. Our findings support the assumption that motor competencies level, which contains physical capacity and cognitive components, could be significantly linked to EF development from a preschool age. Therefore, we suggest that future studies focus more on clinical trial design, combining movement interventions with different levels of cognitive components, for the purposive development of EFs in preschool-aged children.","author":[{"dropping-particle":"","family":"Malambo","given":"Chipo","non-dropping-particle":"","parse-names":false,"suffix":""},{"dropping-particle":"","family":"Nova","given":"Aneta","non-dropping-particle":"","parse-names":false,"suffix":""},{"dropping-particle":"","family":"Clark","given":"Cain","non-dropping-particle":"","parse-names":false,"suffix":""},{"dropping-particle":"","family":"Musalek","given":"Martin","non-dropping-particle":"","parse-names":false,"suffix":""}],"container-title":"Children","id":"ITEM-1","issue":"1059","issued":{"date-parts":[["2022"]]},"page":"1-17","title":"Fitness , Motor Competency , Physical Activity , and Executive Functions in Pre-School Age Children: A Systematic Review","type":"article-journal","volume":"9"},"uris":["http://www.mendeley.com/documents/?uuid=be47198e-eb86-4c63-9929-f15159501b31"]}],"mendeley":{"formattedCitation":"(Malambo et al., 2022)","plainTextFormattedCitation":"(Malambo et al., 2022)","previouslyFormattedCitation":"(Malambo et al., 2022)"},"properties":{"noteIndex":0},"schema":"https://github.com/citation-style-language/schema/raw/master/csl-citation.json"}</w:instrText>
      </w:r>
      <w:r w:rsidR="00736009">
        <w:rPr>
          <w:rFonts w:eastAsia="MS Mincho"/>
          <w:szCs w:val="24"/>
          <w:lang w:val="en-ID" w:eastAsia="en-US"/>
        </w:rPr>
        <w:fldChar w:fldCharType="separate"/>
      </w:r>
      <w:r w:rsidR="00736009" w:rsidRPr="00736009">
        <w:rPr>
          <w:rFonts w:eastAsia="MS Mincho"/>
          <w:noProof/>
          <w:szCs w:val="24"/>
          <w:lang w:val="en-ID" w:eastAsia="en-US"/>
        </w:rPr>
        <w:t>(Malambo et al., 2022)</w:t>
      </w:r>
      <w:r w:rsidR="00736009">
        <w:rPr>
          <w:rFonts w:eastAsia="MS Mincho"/>
          <w:szCs w:val="24"/>
          <w:lang w:val="en-ID" w:eastAsia="en-US"/>
        </w:rPr>
        <w:fldChar w:fldCharType="end"/>
      </w:r>
      <w:r w:rsidRPr="00C322F8">
        <w:rPr>
          <w:rFonts w:eastAsia="MS Mincho"/>
          <w:szCs w:val="24"/>
          <w:lang w:val="en-ID" w:eastAsia="en-US"/>
        </w:rPr>
        <w:t xml:space="preserve">. Keterampilan motorik kasar </w:t>
      </w:r>
      <w:r w:rsidRPr="00C322F8">
        <w:rPr>
          <w:rFonts w:eastAsia="MS Mincho"/>
          <w:i/>
          <w:iCs/>
          <w:szCs w:val="24"/>
          <w:lang w:val="en-ID" w:eastAsia="en-US"/>
        </w:rPr>
        <w:t>(gross motor skills)</w:t>
      </w:r>
      <w:r w:rsidRPr="00C322F8">
        <w:rPr>
          <w:rFonts w:eastAsia="MS Mincho"/>
          <w:szCs w:val="24"/>
          <w:lang w:val="en-ID" w:eastAsia="en-US"/>
        </w:rPr>
        <w:t xml:space="preserve"> mencakup kemampuan seperti berlari, melompat, meluncur, melempar, menangkap, dan menendang, yang memerlukan koordinasi </w:t>
      </w:r>
      <w:r w:rsidRPr="00C322F8">
        <w:rPr>
          <w:rFonts w:eastAsia="MS Mincho"/>
          <w:szCs w:val="24"/>
          <w:lang w:val="en-ID" w:eastAsia="en-US"/>
        </w:rPr>
        <w:lastRenderedPageBreak/>
        <w:t>otot besar, keseimbangan, serta kontrol tubuh</w:t>
      </w:r>
      <w:r w:rsidR="00736009">
        <w:rPr>
          <w:rFonts w:eastAsia="MS Mincho"/>
          <w:szCs w:val="24"/>
          <w:lang w:val="en-ID" w:eastAsia="en-US"/>
        </w:rPr>
        <w:t xml:space="preserve"> </w:t>
      </w:r>
      <w:r w:rsidR="00736009">
        <w:rPr>
          <w:rFonts w:eastAsia="MS Mincho"/>
          <w:szCs w:val="24"/>
          <w:lang w:val="en-ID" w:eastAsia="en-US"/>
        </w:rPr>
        <w:fldChar w:fldCharType="begin" w:fldLock="1"/>
      </w:r>
      <w:r w:rsidR="00DF0607">
        <w:rPr>
          <w:rFonts w:eastAsia="MS Mincho"/>
          <w:szCs w:val="24"/>
          <w:lang w:val="en-ID" w:eastAsia="en-US"/>
        </w:rPr>
        <w:instrText>ADDIN CSL_CITATION {"citationItems":[{"id":"ITEM-1","itemData":{"DOI":"10.1080/17461391.2020.1838620","ISSN":"15367290","PMID":"33108985","abstract":"There is only limited evidence to suggest that training during childhood produces greater adaptations than at other ages. The aim of this study was to examine the effects of plyometric training (12 weeks, twice/week, 20 min/day) on physical fitness (PF) and gross motor coordination (GMC) in schoolboys aged 7–9 years. A total of 116 boys were assigned to two groups: plyometric training group (PT,n = 73) and control group (CG,n = 43). The CG maintained their normal daily activities. The PT consisted of twice-weekly exercises on nonconsecutive days for twelve weeks under monitored and controlled conditions. PF (handgrip strength, standing long jump (SLJ), curl-ups, sit and reach, square-test, running speed, and 1 mile run test), GMC, Korper-koordinations-test fur Kinder (KTK), and body mass index (BMI) were assessed. The main results through a 2 × 2 (time × groups) repeated measures analysis variance demonstrated a significant time effect that improves PF and GMC according to the direction of the measure. A group effect was observed only in the abdominal strength test (CG = 12.06% and PT = 17.04%) and moving sideways (CG = 11.1% and PT = 12.4%) showing that independent of the group there was an improvement. A significant interaction effect (time × groups) was observed in the flexibility test (CG = −2.7% and PT = 3.5%) and STJ (CG = 3.1% and PT = 18.5%), as well as jumping sideways (CG = 16.3% and PT = 17.4%) and overall GMC score (CG = 9.8% and PT = 15.9%), showing that gains in these variables were greater in the PT group. The results suggest that 12 weeks of PT improve components of gross motor coordination and health-related physical fitness in children.","author":[{"dropping-particle":"de","family":"Almeida","given":"Marcelus Brito","non-dropping-particle":"","parse-names":false,"suffix":""},{"dropping-particle":"","family":"Leandro","given":"Carol Góis","non-dropping-particle":"","parse-names":false,"suffix":""},{"dropping-particle":"","family":"Queiroz","given":"Daniel da Rocha","non-dropping-particle":"","parse-names":false,"suffix":""},{"dropping-particle":"","family":"José-da-Silva","given":"Marivânio","non-dropping-particle":"","parse-names":false,"suffix":""},{"dropping-particle":"","family":"Pessôa dos Prazeres","given":"Thaliane Mayara","non-dropping-particle":"","parse-names":false,"suffix":""},{"dropping-particle":"","family":"Pereira","given":"Gleybson Maciel","non-dropping-particle":"","parse-names":false,"suffix":""},{"dropping-particle":"","family":"das-Neves","given":"Gabriela Silva","non-dropping-particle":"","parse-names":false,"suffix":""},{"dropping-particle":"","family":"Carneiro","given":"Renata Cecília","non-dropping-particle":"","parse-names":false,"suffix":""},{"dropping-particle":"","family":"Figueredo-Alves","given":"Amanda Dayanne","non-dropping-particle":"","parse-names":false,"suffix":""},{"dropping-particle":"","family":"Nakamura","given":"Fábio Yuzo","non-dropping-particle":"","parse-names":false,"suffix":""},{"dropping-particle":"","family":"Henrique","given":"Rafael dos Santos","non-dropping-particle":"","parse-names":false,"suffix":""},{"dropping-particle":"","family":"Moura-dos-Santos","given":"Marcos André","non-dropping-particle":"","parse-names":false,"suffix":""}],"container-title":"European Journal of Sport Science","id":"ITEM-1","issue":"9","issued":{"date-parts":[["2021"]]},"page":"1263-1272","publisher":"Taylor &amp; Francis","title":"Plyometric training increases gross motor coordination and associated components of physical fitness in children","type":"article-journal","volume":"21"},"uris":["http://www.mendeley.com/documents/?uuid=fac01dd5-87af-4204-a503-9d13fcaac5ff"]}],"mendeley":{"formattedCitation":"(Almeida et al., 2021)","plainTextFormattedCitation":"(Almeida et al., 2021)","previouslyFormattedCitation":"(Almeida et al., 2021)"},"properties":{"noteIndex":0},"schema":"https://github.com/citation-style-language/schema/raw/master/csl-citation.json"}</w:instrText>
      </w:r>
      <w:r w:rsidR="00736009">
        <w:rPr>
          <w:rFonts w:eastAsia="MS Mincho"/>
          <w:szCs w:val="24"/>
          <w:lang w:val="en-ID" w:eastAsia="en-US"/>
        </w:rPr>
        <w:fldChar w:fldCharType="separate"/>
      </w:r>
      <w:r w:rsidR="00736009" w:rsidRPr="00736009">
        <w:rPr>
          <w:rFonts w:eastAsia="MS Mincho"/>
          <w:noProof/>
          <w:szCs w:val="24"/>
          <w:lang w:val="en-ID" w:eastAsia="en-US"/>
        </w:rPr>
        <w:t>(Almeida et al., 2021)</w:t>
      </w:r>
      <w:r w:rsidR="00736009">
        <w:rPr>
          <w:rFonts w:eastAsia="MS Mincho"/>
          <w:szCs w:val="24"/>
          <w:lang w:val="en-ID" w:eastAsia="en-US"/>
        </w:rPr>
        <w:fldChar w:fldCharType="end"/>
      </w:r>
      <w:r w:rsidRPr="00C322F8">
        <w:rPr>
          <w:rFonts w:eastAsia="MS Mincho"/>
          <w:szCs w:val="24"/>
          <w:lang w:val="en-ID" w:eastAsia="en-US"/>
        </w:rPr>
        <w:t>. Penilaian keterampilan ini membantu pendidik dan tenaga kesehatan menilai tingkat kompetensi dasar anak dalam bergerak aktif secara efektif</w:t>
      </w:r>
      <w:r w:rsidR="00DF0607">
        <w:rPr>
          <w:rFonts w:eastAsia="MS Mincho"/>
          <w:szCs w:val="24"/>
          <w:lang w:val="en-ID" w:eastAsia="en-US"/>
        </w:rPr>
        <w:t xml:space="preserve"> </w:t>
      </w:r>
      <w:r w:rsidR="00DF0607">
        <w:rPr>
          <w:rFonts w:eastAsia="MS Mincho"/>
          <w:szCs w:val="24"/>
          <w:lang w:val="en-ID" w:eastAsia="en-US"/>
        </w:rPr>
        <w:fldChar w:fldCharType="begin" w:fldLock="1"/>
      </w:r>
      <w:r w:rsidR="00752CE4">
        <w:rPr>
          <w:rFonts w:eastAsia="MS Mincho"/>
          <w:szCs w:val="24"/>
          <w:lang w:val="en-ID" w:eastAsia="en-US"/>
        </w:rPr>
        <w:instrText>ADDIN CSL_CITATION {"citationItems":[{"id":"ITEM-1","itemData":{"DOI":"10.1080/13561820.2023.2176472","ISSN":"14699567","PMID":"36821383","abstract":"A scoping review of 32 publications was conducted with the aim of mapping literature to determine what is known about the knowledge, skills, and training of community health workers that could contribute to interprofessional education. Interprofessional education, as a pedagogical approach, prepares health professions students to serve patients in collaboration with other health professionals to improve patient outcomes. All over the world, the role of community health workers is vital for its support of community service and community health outcomes. However, no evidence could be found on the knowledge, skills, and training of community health workers that contribute to interprofessional education. The knowledge that community health workers need to contribute to interprofessional education, as reported by the literature, relates to case management, communication, health education, recordkeeping and referrals. Skills, such as critical thinking, interprofessional collaboration, and various clinical procedures, were noted. Training approaches reported included the use of technology such as mobile phones and web-based learning. The scoping review improved our understanding of the knowledge, skills, and training of community health workers that could contribute to interprofessional education. Applying a fit-for-purpose approach, and building on existing knowledge, skills, and training, could fast-track the contribution of community health workers to interprofessional education.","author":[{"dropping-particle":"","family":"Joubert","given":"Annemarie","non-dropping-particle":"","parse-names":false,"suffix":""},{"dropping-particle":"","family":"Reid","given":"Marianne","non-dropping-particle":"","parse-names":false,"suffix":""}],"container-title":"Journal of Interprofessional Care","id":"ITEM-1","issue":"2","issued":{"date-parts":[["2024"]]},"page":"308-318","publisher":"Taylor &amp; Francis","title":"Knowledge, skills, and training of community health workers to contribute to interprofessional education: a scoping review","type":"article-journal","volume":"38"},"uris":["http://www.mendeley.com/documents/?uuid=ebd48116-b1fe-4bc4-b242-8d34ff4ee2f4"]}],"mendeley":{"formattedCitation":"(Joubert &amp; Reid, 2024)","plainTextFormattedCitation":"(Joubert &amp; Reid, 2024)","previouslyFormattedCitation":"(Joubert &amp; Reid, 2024)"},"properties":{"noteIndex":0},"schema":"https://github.com/citation-style-language/schema/raw/master/csl-citation.json"}</w:instrText>
      </w:r>
      <w:r w:rsidR="00DF0607">
        <w:rPr>
          <w:rFonts w:eastAsia="MS Mincho"/>
          <w:szCs w:val="24"/>
          <w:lang w:val="en-ID" w:eastAsia="en-US"/>
        </w:rPr>
        <w:fldChar w:fldCharType="separate"/>
      </w:r>
      <w:r w:rsidR="00DF0607" w:rsidRPr="00DF0607">
        <w:rPr>
          <w:rFonts w:eastAsia="MS Mincho"/>
          <w:noProof/>
          <w:szCs w:val="24"/>
          <w:lang w:val="en-ID" w:eastAsia="en-US"/>
        </w:rPr>
        <w:t>(Joubert &amp; Reid, 2024)</w:t>
      </w:r>
      <w:r w:rsidR="00DF0607">
        <w:rPr>
          <w:rFonts w:eastAsia="MS Mincho"/>
          <w:szCs w:val="24"/>
          <w:lang w:val="en-ID" w:eastAsia="en-US"/>
        </w:rPr>
        <w:fldChar w:fldCharType="end"/>
      </w:r>
      <w:r w:rsidRPr="00C322F8">
        <w:rPr>
          <w:rFonts w:eastAsia="MS Mincho"/>
          <w:szCs w:val="24"/>
          <w:lang w:val="en-ID" w:eastAsia="en-US"/>
        </w:rPr>
        <w:t>.</w:t>
      </w:r>
    </w:p>
    <w:p w14:paraId="3AA2C863" w14:textId="78EFE55B"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 xml:space="preserve">Salah satu instrumen yang banyak digunakan untuk mengukur keterampilan motorik kasar anak adalah </w:t>
      </w:r>
      <w:r w:rsidRPr="00C322F8">
        <w:rPr>
          <w:rFonts w:eastAsia="MS Mincho"/>
          <w:i/>
          <w:iCs/>
          <w:szCs w:val="24"/>
          <w:lang w:val="en-ID" w:eastAsia="en-US"/>
        </w:rPr>
        <w:t>Test of Gross Motor Development–2</w:t>
      </w:r>
      <w:r w:rsidRPr="00C322F8">
        <w:rPr>
          <w:rFonts w:eastAsia="MS Mincho"/>
          <w:szCs w:val="24"/>
          <w:lang w:val="en-ID" w:eastAsia="en-US"/>
        </w:rPr>
        <w:t xml:space="preserve"> (TGMD-2)</w:t>
      </w:r>
      <w:r w:rsidR="00752CE4">
        <w:rPr>
          <w:rFonts w:eastAsia="MS Mincho"/>
          <w:szCs w:val="24"/>
          <w:lang w:val="en-ID" w:eastAsia="en-US"/>
        </w:rPr>
        <w:t xml:space="preserve"> </w:t>
      </w:r>
      <w:r w:rsidR="00752CE4">
        <w:rPr>
          <w:rFonts w:eastAsia="MS Mincho"/>
          <w:szCs w:val="24"/>
          <w:lang w:val="en-ID" w:eastAsia="en-US"/>
        </w:rPr>
        <w:fldChar w:fldCharType="begin" w:fldLock="1"/>
      </w:r>
      <w:r w:rsidR="00752CE4">
        <w:rPr>
          <w:rFonts w:eastAsia="MS Mincho"/>
          <w:szCs w:val="24"/>
          <w:lang w:val="en-ID" w:eastAsia="en-US"/>
        </w:rPr>
        <w:instrText>ADDIN CSL_CITATION {"citationItems":[{"id":"ITEM-1","itemData":{"ISSN":"2686-5807","abstract":"… the Test of Gross Motor Development-2 (TGMD-2), which assesses the gross motor skills of … The research results on the physical features analysis of gross motor skills aged 6-10 years …","author":[{"dropping-particle":"","family":"Pratama","given":"Ezra","non-dropping-particle":"","parse-names":false,"suffix":""},{"dropping-particle":"","family":"Kurniawan","given":"Rama","non-dropping-particle":"","parse-names":false,"suffix":""},{"dropping-particle":"","family":"Gamagitta","given":"Laras Putri","non-dropping-particle":"","parse-names":false,"suffix":""}],"container-title":"Physical Activity Journal (PAJU)","id":"ITEM-1","issue":"1","issued":{"date-parts":[["2024"]]},"page":"11-24","title":"Gross Motor Skills of Students with Autism Spectrum Disorder Aged 6-10 Years And Typically Developing Children on TGMD-2","type":"article-journal","volume":"6"},"uris":["http://www.mendeley.com/documents/?uuid=8492a36a-ef8b-456f-ac1d-d08119b19451"]}],"mendeley":{"formattedCitation":"(Pratama et al., 2024)","plainTextFormattedCitation":"(Pratama et al., 2024)","previouslyFormattedCitation":"(Pratama et al., 2024)"},"properties":{"noteIndex":0},"schema":"https://github.com/citation-style-language/schema/raw/master/csl-citation.json"}</w:instrText>
      </w:r>
      <w:r w:rsidR="00752CE4">
        <w:rPr>
          <w:rFonts w:eastAsia="MS Mincho"/>
          <w:szCs w:val="24"/>
          <w:lang w:val="en-ID" w:eastAsia="en-US"/>
        </w:rPr>
        <w:fldChar w:fldCharType="separate"/>
      </w:r>
      <w:r w:rsidR="00752CE4" w:rsidRPr="00752CE4">
        <w:rPr>
          <w:rFonts w:eastAsia="MS Mincho"/>
          <w:noProof/>
          <w:szCs w:val="24"/>
          <w:lang w:val="en-ID" w:eastAsia="en-US"/>
        </w:rPr>
        <w:t>(Pratama et al., 2024)</w:t>
      </w:r>
      <w:r w:rsidR="00752CE4">
        <w:rPr>
          <w:rFonts w:eastAsia="MS Mincho"/>
          <w:szCs w:val="24"/>
          <w:lang w:val="en-ID" w:eastAsia="en-US"/>
        </w:rPr>
        <w:fldChar w:fldCharType="end"/>
      </w:r>
      <w:r w:rsidR="00752CE4">
        <w:rPr>
          <w:rFonts w:eastAsia="MS Mincho"/>
          <w:szCs w:val="24"/>
          <w:lang w:val="en-ID" w:eastAsia="en-US"/>
        </w:rPr>
        <w:fldChar w:fldCharType="begin" w:fldLock="1"/>
      </w:r>
      <w:r w:rsidR="00752CE4">
        <w:rPr>
          <w:rFonts w:eastAsia="MS Mincho"/>
          <w:szCs w:val="24"/>
          <w:lang w:val="en-ID" w:eastAsia="en-US"/>
        </w:rPr>
        <w:instrText>ADDIN CSL_CITATION {"citationItems":[{"id":"ITEM-1","itemData":{"ISSN":"2686-5807","abstract":"… the Test of Gross Motor Development-2 (TGMD-2), which assesses the gross motor skills of … The research results on the physical features analysis of gross motor skills aged 6-10 years …","author":[{"dropping-particle":"","family":"Pratama","given":"Ezra","non-dropping-particle":"","parse-names":false,"suffix":""},{"dropping-particle":"","family":"Kurniawan","given":"Rama","non-dropping-particle":"","parse-names":false,"suffix":""},{"dropping-particle":"","family":"Gamagitta","given":"Laras Putri","non-dropping-particle":"","parse-names":false,"suffix":""}],"container-title":"Physical Activity Journal (PAJU)","id":"ITEM-1","issue":"1","issued":{"date-parts":[["2024"]]},"page":"11-24","title":"Gross Motor Skills of Students with Autism Spectrum Disorder Aged 6-10 Years And Typically Developing Children on TGMD-2","type":"article-journal","volume":"6"},"uris":["http://www.mendeley.com/documents/?uuid=8492a36a-ef8b-456f-ac1d-d08119b19451"]}],"mendeley":{"formattedCitation":"(Pratama et al., 2024)","plainTextFormattedCitation":"(Pratama et al., 2024)","previouslyFormattedCitation":"(Pratama et al., 2024)"},"properties":{"noteIndex":0},"schema":"https://github.com/citation-style-language/schema/raw/master/csl-citation.json"}</w:instrText>
      </w:r>
      <w:r w:rsidR="00752CE4">
        <w:rPr>
          <w:rFonts w:eastAsia="MS Mincho"/>
          <w:szCs w:val="24"/>
          <w:lang w:val="en-ID" w:eastAsia="en-US"/>
        </w:rPr>
        <w:fldChar w:fldCharType="separate"/>
      </w:r>
      <w:r w:rsidR="00752CE4" w:rsidRPr="00752CE4">
        <w:rPr>
          <w:rFonts w:eastAsia="MS Mincho"/>
          <w:noProof/>
          <w:szCs w:val="24"/>
          <w:lang w:val="en-ID" w:eastAsia="en-US"/>
        </w:rPr>
        <w:t>(Pratama et al., 2024)</w:t>
      </w:r>
      <w:r w:rsidR="00752CE4">
        <w:rPr>
          <w:rFonts w:eastAsia="MS Mincho"/>
          <w:szCs w:val="24"/>
          <w:lang w:val="en-ID" w:eastAsia="en-US"/>
        </w:rPr>
        <w:fldChar w:fldCharType="end"/>
      </w:r>
      <w:r w:rsidRPr="00C322F8">
        <w:rPr>
          <w:rFonts w:eastAsia="MS Mincho"/>
          <w:szCs w:val="24"/>
          <w:lang w:val="en-ID" w:eastAsia="en-US"/>
        </w:rPr>
        <w:t>. Instrumen ini mengukur dua aspek utama, yaitu subtes lokomotor (</w:t>
      </w:r>
      <w:r w:rsidRPr="00C322F8">
        <w:rPr>
          <w:rFonts w:eastAsia="MS Mincho"/>
          <w:i/>
          <w:iCs/>
          <w:szCs w:val="24"/>
          <w:lang w:val="en-ID" w:eastAsia="en-US"/>
        </w:rPr>
        <w:t>run, hop, leap, gallop, horizontal jump, slide</w:t>
      </w:r>
      <w:r w:rsidRPr="00C322F8">
        <w:rPr>
          <w:rFonts w:eastAsia="MS Mincho"/>
          <w:szCs w:val="24"/>
          <w:lang w:val="en-ID" w:eastAsia="en-US"/>
        </w:rPr>
        <w:t>) dan subtes kontrol objek (</w:t>
      </w:r>
      <w:r w:rsidRPr="00C322F8">
        <w:rPr>
          <w:rFonts w:eastAsia="MS Mincho"/>
          <w:i/>
          <w:iCs/>
          <w:szCs w:val="24"/>
          <w:lang w:val="en-ID" w:eastAsia="en-US"/>
        </w:rPr>
        <w:t>strike a ball, stationary dribble, catch, kick, overhand throw, underhand roll</w:t>
      </w:r>
      <w:r w:rsidRPr="00C322F8">
        <w:rPr>
          <w:rFonts w:eastAsia="MS Mincho"/>
          <w:szCs w:val="24"/>
          <w:lang w:val="en-ID" w:eastAsia="en-US"/>
        </w:rPr>
        <w:t xml:space="preserve">) </w:t>
      </w:r>
      <w:r w:rsidR="00752CE4">
        <w:rPr>
          <w:rFonts w:eastAsia="MS Mincho"/>
          <w:szCs w:val="24"/>
          <w:lang w:val="en-ID" w:eastAsia="en-US"/>
        </w:rPr>
        <w:fldChar w:fldCharType="begin" w:fldLock="1"/>
      </w:r>
      <w:r w:rsidR="00752CE4">
        <w:rPr>
          <w:rFonts w:eastAsia="MS Mincho"/>
          <w:szCs w:val="24"/>
          <w:lang w:val="en-ID" w:eastAsia="en-US"/>
        </w:rPr>
        <w:instrText>ADDIN CSL_CITATION {"citationItems":[{"id":"ITEM-1","itemData":{"DOI":"10.1007/s11332-024-01307-4","ISBN":"0123456789","ISSN":"18251234","abstract":"Purpose: Locomotor skills (LS) are an essential part of fundamental movement skills (FMS) that various factors such as lower limb deformities and proper training can affect the development of these skills. The purpose of this study was to determine the effect of game-based intervention on LS of female students with flat foot. Methods: To conduct this study, 18 female students aged 9–11 years with flat foot were selected as a convenience sampling. Then they were randomly divided in two control and experimental groups. The experimental group (EG) played a series of selected games for 6 weeks with the aim of improving LS and flat foot. Before and after the intervention, the flat foot of all participants was measured with the STAHELI index. In addition, the pre-test and post-test of the Test of Gross Motor Development second edition (TGMD-2) were taken. Results: The results of the paired-samples t test showed a significant difference between the LS mean score of pre-test and post-test of the EG and that this difference was not significant in the CG (tEG = 4.79,pEG =.001;tCG = 1.38, pCG =.205). In addition, an independent samples t -test showed that the LS mean score of the the EG increased significantly compared to the CG in the post-test (t = 2.54, p = 0.022). Furthermore, regarding the flat foot score (FFS), the paired t test did not show any significant difference between pre-test and post-test of any groups (tEG =.539, pEG =.604; tCG = 1.41, pCG =.196). Conclusion: A game-based intervention improved the LS of 9–11 year-old female students with flat foot.","author":[{"dropping-particle":"","family":"Rahmanifar","given":"Mahsa","non-dropping-particle":"","parse-names":false,"suffix":""},{"dropping-particle":"","family":"Ebrahimi","given":"Ebrahim","non-dropping-particle":"","parse-names":false,"suffix":""},{"dropping-particle":"","family":"Davoodeh","given":"Shima","non-dropping-particle":"","parse-names":false,"suffix":""},{"dropping-particle":"","family":"Jamshidi Goharrizi","given":"Shiva","non-dropping-particle":"","parse-names":false,"suffix":""},{"dropping-particle":"","family":"CheshmehChahi Fard","given":"Ghasem","non-dropping-particle":"","parse-names":false,"suffix":""}],"container-title":"Sport Sciences for Health","id":"ITEM-1","issue":"2","issued":{"date-parts":[["2025"]]},"page":"729-735","publisher":"Springer Milan","title":"The effect of game-based intervention on locomotor skills of female students aged 9–11 years with flat foot","type":"article-journal","volume":"21"},"uris":["http://www.mendeley.com/documents/?uuid=aa544754-cd13-4c1a-bf57-5ea02e63542e"]}],"mendeley":{"formattedCitation":"(Rahmanifar et al., 2025)","plainTextFormattedCitation":"(Rahmanifar et al., 2025)","previouslyFormattedCitation":"(Rahmanifar et al., 2025)"},"properties":{"noteIndex":0},"schema":"https://github.com/citation-style-language/schema/raw/master/csl-citation.json"}</w:instrText>
      </w:r>
      <w:r w:rsidR="00752CE4">
        <w:rPr>
          <w:rFonts w:eastAsia="MS Mincho"/>
          <w:szCs w:val="24"/>
          <w:lang w:val="en-ID" w:eastAsia="en-US"/>
        </w:rPr>
        <w:fldChar w:fldCharType="separate"/>
      </w:r>
      <w:r w:rsidR="00752CE4" w:rsidRPr="00752CE4">
        <w:rPr>
          <w:rFonts w:eastAsia="MS Mincho"/>
          <w:noProof/>
          <w:szCs w:val="24"/>
          <w:lang w:val="en-ID" w:eastAsia="en-US"/>
        </w:rPr>
        <w:t>(Rahmanifar et al., 2025)</w:t>
      </w:r>
      <w:r w:rsidR="00752CE4">
        <w:rPr>
          <w:rFonts w:eastAsia="MS Mincho"/>
          <w:szCs w:val="24"/>
          <w:lang w:val="en-ID" w:eastAsia="en-US"/>
        </w:rPr>
        <w:fldChar w:fldCharType="end"/>
      </w:r>
      <w:r w:rsidR="00752CE4">
        <w:rPr>
          <w:rFonts w:eastAsia="MS Mincho"/>
          <w:szCs w:val="24"/>
          <w:lang w:val="en-ID" w:eastAsia="en-US"/>
        </w:rPr>
        <w:t xml:space="preserve">. </w:t>
      </w:r>
      <w:r w:rsidRPr="00C322F8">
        <w:rPr>
          <w:rFonts w:eastAsia="MS Mincho"/>
          <w:szCs w:val="24"/>
          <w:lang w:val="en-ID" w:eastAsia="en-US"/>
        </w:rPr>
        <w:t>TGMD-2 terbukti memiliki reliabilitas dan validitas yang baik pada berbagai populasi anak di dunia</w:t>
      </w:r>
      <w:r w:rsidR="00752CE4">
        <w:rPr>
          <w:rFonts w:eastAsia="MS Mincho"/>
          <w:szCs w:val="24"/>
          <w:lang w:val="en-ID" w:eastAsia="en-US"/>
        </w:rPr>
        <w:t xml:space="preserve"> </w:t>
      </w:r>
      <w:r w:rsidR="00752CE4">
        <w:rPr>
          <w:rFonts w:eastAsia="MS Mincho"/>
          <w:szCs w:val="24"/>
          <w:lang w:val="en-ID" w:eastAsia="en-US"/>
        </w:rPr>
        <w:fldChar w:fldCharType="begin" w:fldLock="1"/>
      </w:r>
      <w:r w:rsidR="00726104">
        <w:rPr>
          <w:rFonts w:eastAsia="MS Mincho"/>
          <w:szCs w:val="24"/>
          <w:lang w:val="en-ID" w:eastAsia="en-US"/>
        </w:rPr>
        <w:instrText>ADDIN CSL_CITATION {"citationItems":[{"id":"ITEM-1","itemData":{"DOI":"10.3390/ijerph192416834","ISSN":"16604601","PMID":"36554715","abstract":"We systematically reviewed the literature about the validity and reliability of barriers and facilitators of sedentary behavior questionnaires for children and adolescents, considering accelerometers as the reference method. We included studies that assessed the agreement between the barriers and facilitators of sedentary behavior through a questionnaire and an objective measure (e.g., accelerometry). We searched four electronic databases (MEDLINE/PubMed, CINAHL, Web of Science, and SCOPUS): these databases were searched for records from inception to 5 March 2021, and updated to November 2022. The search strategy used the following descriptors: children and adolescents; barriers or facilitators; questionnaires; accelerometers; and validation or reliability coefficient. Studies identified in the search were selected independently by two reviewers. The inclusion criteria were: (i) population of children and adolescents, (ii) original studies, (iii) subjective and objective measurement methods, (iv) studies that report validity or reliability, and (v) population without specific diseases. Seven studies were eligible for our review. The main exclusion reasons were studies that did not report validity or reliability coefficients (56.6%) and non-original studies (14.5%). The participants’ ages in the primary studies ranged from 2 to 18 years. Cronbach’s alpha coefficient was the most reported reliability assessment among the eligible articles, while Pearson and Spearman’s coefficients were prevalent for validity. The reliability of self-report questionnaires for assessing sedentary behavior ranged from r = 0.3 to 1.0. The validity of the accelerometers ranged from r = −0.1 to 0.9. Family environment was the main factor associated with sedentary behavior. Our findings suggest that questionnaires assessing the barriers and facilitators of sedentary behavior are weak to moderate. PROSPERO Registration (CRD42021233945).","author":[{"dropping-particle":"","family":"Oliveira","given":"Guilherme Augusto","non-dropping-particle":"","parse-names":false,"suffix":""},{"dropping-particle":"","family":"Marcelino","given":"Andressa Costa","non-dropping-particle":"","parse-names":false,"suffix":""},{"dropping-particle":"","family":"Tristão Parra","given":"Maíra","non-dropping-particle":"","parse-names":false,"suffix":""},{"dropping-particle":"","family":"Nascimento-Ferreira","given":"Marcus Vinicius","non-dropping-particle":"","parse-names":false,"suffix":""},{"dropping-particle":"","family":"Moraes","given":"Augusto César Ferreira","non-dropping-particle":"De","parse-names":false,"suffix":""}],"container-title":"International Journal of Environmental Research and Public Health","id":"ITEM-1","issue":"24","issued":{"date-parts":[["2022"]]},"title":"Validity and Reliability of Questionnaires That Assess Barriers and Facilitators of Sedentary Behavior in the Pediatric Population: A Systematic Review","type":"article-journal","volume":"19"},"uris":["http://www.mendeley.com/documents/?uuid=7540ab2b-79bc-4727-9210-c95f77401f80"]}],"mendeley":{"formattedCitation":"(Oliveira et al., 2022)","plainTextFormattedCitation":"(Oliveira et al., 2022)","previouslyFormattedCitation":"(Oliveira et al., 2022)"},"properties":{"noteIndex":0},"schema":"https://github.com/citation-style-language/schema/raw/master/csl-citation.json"}</w:instrText>
      </w:r>
      <w:r w:rsidR="00752CE4">
        <w:rPr>
          <w:rFonts w:eastAsia="MS Mincho"/>
          <w:szCs w:val="24"/>
          <w:lang w:val="en-ID" w:eastAsia="en-US"/>
        </w:rPr>
        <w:fldChar w:fldCharType="separate"/>
      </w:r>
      <w:r w:rsidR="00752CE4" w:rsidRPr="00752CE4">
        <w:rPr>
          <w:rFonts w:eastAsia="MS Mincho"/>
          <w:noProof/>
          <w:szCs w:val="24"/>
          <w:lang w:val="en-ID" w:eastAsia="en-US"/>
        </w:rPr>
        <w:t>(Oliveira et al., 2022)</w:t>
      </w:r>
      <w:r w:rsidR="00752CE4">
        <w:rPr>
          <w:rFonts w:eastAsia="MS Mincho"/>
          <w:szCs w:val="24"/>
          <w:lang w:val="en-ID" w:eastAsia="en-US"/>
        </w:rPr>
        <w:fldChar w:fldCharType="end"/>
      </w:r>
      <w:r w:rsidRPr="00C322F8">
        <w:rPr>
          <w:rFonts w:eastAsia="MS Mincho"/>
          <w:szCs w:val="24"/>
          <w:lang w:val="en-ID" w:eastAsia="en-US"/>
        </w:rPr>
        <w:t>.</w:t>
      </w:r>
    </w:p>
    <w:p w14:paraId="11EE4407" w14:textId="1A6D28A3"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Selain aspek pengukuran, konteks pembelajaran juga memengaruhi perkembangan keterampilan motorik kasar</w:t>
      </w:r>
      <w:r w:rsidR="00726104">
        <w:rPr>
          <w:rFonts w:eastAsia="MS Mincho"/>
          <w:szCs w:val="24"/>
          <w:lang w:val="en-ID" w:eastAsia="en-US"/>
        </w:rPr>
        <w:t xml:space="preserve"> </w:t>
      </w:r>
      <w:r w:rsidR="00726104">
        <w:rPr>
          <w:rFonts w:eastAsia="MS Mincho"/>
          <w:szCs w:val="24"/>
          <w:lang w:val="en-ID" w:eastAsia="en-US"/>
        </w:rPr>
        <w:fldChar w:fldCharType="begin" w:fldLock="1"/>
      </w:r>
      <w:r w:rsidR="00726104">
        <w:rPr>
          <w:rFonts w:eastAsia="MS Mincho"/>
          <w:szCs w:val="24"/>
          <w:lang w:val="en-ID" w:eastAsia="en-US"/>
        </w:rPr>
        <w:instrText>ADDIN CSL_CITATION {"citationItems":[{"id":"ITEM-1","itemData":{"DOI":"10.1016/j.jecp.2025.106255","ISSN":"10960457","PMID":"40220729","abstract":"This study investigated the gross motor skills (GMS) of 424 children aged 2.5 to 6 years with the Motor Assessment Test for Children (MATCH). Results from multivariate analysis of variance revealed (a) positive age effects in stability, locomotion, and object manipulation; (b) higher stability scores for girls than for boys and higher object manipulation scores for boys than for girls; and (c) GMS differences even within 6-month age intervals for some motor tasks. The positive age effect indicates that GMS proficiency changes with physical development, whereas gender effects may stem from genetic and/or environmental factors. We recommend that educators be aware of pronounced early childhood motor development and implement varied approaches that cater to diverse developmental levels. To facilitate ongoing monitoring, annual motor assessments are advised. Educators should acknowledge gender-type play behaviors with a naturalistic approach while advocating inclusive play opportunities.","author":[{"dropping-particle":"","family":"Tan","given":"Jernice S.Y.","non-dropping-particle":"","parse-names":false,"suffix":""},{"dropping-particle":"","family":"Lim","given":"Coral B.S.","non-dropping-particle":"","parse-names":false,"suffix":""}],"container-title":"Journal of Experimental Child Psychology","id":"ITEM-1","issued":{"date-parts":[["2025"]]},"page":"106255","publisher":"Elsevier Inc.","title":"The development of gross motor skills in children: Insights from the Motor Assessment Test for Children","type":"article-journal","volume":"256"},"uris":["http://www.mendeley.com/documents/?uuid=15856bcf-b3b7-4dd9-9d5a-30d161ec8d8b"]}],"mendeley":{"formattedCitation":"(Tan &amp; Lim, 2025)","plainTextFormattedCitation":"(Tan &amp; Lim, 2025)","previouslyFormattedCitation":"(Tan &amp; Lim, 2025)"},"properties":{"noteIndex":0},"schema":"https://github.com/citation-style-language/schema/raw/master/csl-citation.json"}</w:instrText>
      </w:r>
      <w:r w:rsidR="00726104">
        <w:rPr>
          <w:rFonts w:eastAsia="MS Mincho"/>
          <w:szCs w:val="24"/>
          <w:lang w:val="en-ID" w:eastAsia="en-US"/>
        </w:rPr>
        <w:fldChar w:fldCharType="separate"/>
      </w:r>
      <w:r w:rsidR="00726104" w:rsidRPr="00726104">
        <w:rPr>
          <w:rFonts w:eastAsia="MS Mincho"/>
          <w:noProof/>
          <w:szCs w:val="24"/>
          <w:lang w:val="en-ID" w:eastAsia="en-US"/>
        </w:rPr>
        <w:t>(Tan &amp; Lim, 2025)</w:t>
      </w:r>
      <w:r w:rsidR="00726104">
        <w:rPr>
          <w:rFonts w:eastAsia="MS Mincho"/>
          <w:szCs w:val="24"/>
          <w:lang w:val="en-ID" w:eastAsia="en-US"/>
        </w:rPr>
        <w:fldChar w:fldCharType="end"/>
      </w:r>
      <w:r w:rsidRPr="00C322F8">
        <w:rPr>
          <w:rFonts w:eastAsia="MS Mincho"/>
          <w:szCs w:val="24"/>
          <w:lang w:val="en-ID" w:eastAsia="en-US"/>
        </w:rPr>
        <w:t>. Dalam lingkungan sekolah dasar, kemampuan ini tidak hanya terbentuk melalui mata pelajaran pendidikan jasmani, tetapi juga melalui partisipasi anak dalam kegiatan fisik tambahan seperti ekstrakurikuler olahraga</w:t>
      </w:r>
      <w:r w:rsidR="00726104">
        <w:rPr>
          <w:rFonts w:eastAsia="MS Mincho"/>
          <w:szCs w:val="24"/>
          <w:lang w:val="en-ID" w:eastAsia="en-US"/>
        </w:rPr>
        <w:t xml:space="preserve"> </w:t>
      </w:r>
      <w:r w:rsidR="00726104">
        <w:rPr>
          <w:rFonts w:eastAsia="MS Mincho"/>
          <w:szCs w:val="24"/>
          <w:lang w:val="en-ID" w:eastAsia="en-US"/>
        </w:rPr>
        <w:fldChar w:fldCharType="begin" w:fldLock="1"/>
      </w:r>
      <w:r w:rsidR="00BD752F">
        <w:rPr>
          <w:rFonts w:eastAsia="MS Mincho"/>
          <w:szCs w:val="24"/>
          <w:lang w:val="en-ID" w:eastAsia="en-US"/>
        </w:rPr>
        <w:instrText>ADDIN CSL_CITATION {"citationItems":[{"id":"ITEM-1","itemData":{"DOI":"10.17509/ijcsne.v3i2.52175","ISSN":"2775-8400","abstract":"The purpose of this article is to examine the role of school-based extracurricular initiatives in facilitating immediate and long-term positive impacts on physical activity, healthy behavior, and obesity in children. A critique of the role of various sports-related initiatives that have been developed to address the obesity epidemic currently facing children within the United States is provided, with a specific emphasis on intramural sports as a preferred mechanism to encourage long-term involvement in sport and physically active pursuits. The article presents support for the notion that a physical education curriculum that includes intramurals before, during, and after school can help children learn the skills to enjoy participation in a variety of sports designed to facilitate lifelong active living.","author":[{"dropping-particle":"","family":"Saodat","given":"Orzukulova","non-dropping-particle":"","parse-names":false,"suffix":""}],"container-title":"Indonesian Journal of Community and Special Needs Education","id":"ITEM-1","issue":"1","issued":{"date-parts":[["2022"]]},"page":"73-84","title":"Organization of Extracurricular Physical Education at School and Its Role in the Physical and Mental Improvement of Students","type":"article-journal","volume":"3"},"uris":["http://www.mendeley.com/documents/?uuid=3c1c062d-aab1-4f82-b0b6-fc94cad166ff"]}],"mendeley":{"formattedCitation":"(Saodat, 2022)","plainTextFormattedCitation":"(Saodat, 2022)","previouslyFormattedCitation":"(Saodat, 2022)"},"properties":{"noteIndex":0},"schema":"https://github.com/citation-style-language/schema/raw/master/csl-citation.json"}</w:instrText>
      </w:r>
      <w:r w:rsidR="00726104">
        <w:rPr>
          <w:rFonts w:eastAsia="MS Mincho"/>
          <w:szCs w:val="24"/>
          <w:lang w:val="en-ID" w:eastAsia="en-US"/>
        </w:rPr>
        <w:fldChar w:fldCharType="separate"/>
      </w:r>
      <w:r w:rsidR="00726104" w:rsidRPr="00726104">
        <w:rPr>
          <w:rFonts w:eastAsia="MS Mincho"/>
          <w:noProof/>
          <w:szCs w:val="24"/>
          <w:lang w:val="en-ID" w:eastAsia="en-US"/>
        </w:rPr>
        <w:t>(Saodat, 2022)</w:t>
      </w:r>
      <w:r w:rsidR="00726104">
        <w:rPr>
          <w:rFonts w:eastAsia="MS Mincho"/>
          <w:szCs w:val="24"/>
          <w:lang w:val="en-ID" w:eastAsia="en-US"/>
        </w:rPr>
        <w:fldChar w:fldCharType="end"/>
      </w:r>
      <w:r w:rsidRPr="00C322F8">
        <w:rPr>
          <w:rFonts w:eastAsia="MS Mincho"/>
          <w:szCs w:val="24"/>
          <w:lang w:val="en-ID" w:eastAsia="en-US"/>
        </w:rPr>
        <w:t>. Kegiatan ekstrakurikuler memberikan kesempatan lebih luas bagi anak untuk berlatih, bergerak aktif, dan mengasah kemampuan motoriknya</w:t>
      </w:r>
      <w:r w:rsidR="00BD752F">
        <w:rPr>
          <w:rFonts w:eastAsia="MS Mincho"/>
          <w:szCs w:val="24"/>
          <w:lang w:val="en-ID" w:eastAsia="en-US"/>
        </w:rPr>
        <w:t xml:space="preserve"> </w:t>
      </w:r>
      <w:r w:rsidR="00BD752F">
        <w:rPr>
          <w:rFonts w:eastAsia="MS Mincho"/>
          <w:szCs w:val="24"/>
          <w:lang w:val="en-ID" w:eastAsia="en-US"/>
        </w:rPr>
        <w:fldChar w:fldCharType="begin" w:fldLock="1"/>
      </w:r>
      <w:r w:rsidR="00690CEF">
        <w:rPr>
          <w:rFonts w:eastAsia="MS Mincho"/>
          <w:szCs w:val="24"/>
          <w:lang w:val="en-ID" w:eastAsia="en-US"/>
        </w:rPr>
        <w:instrText>ADDIN CSL_CITATION {"citationItems":[{"id":"ITEM-1","itemData":{"DOI":"10.15547/tjs.2021.s.01.104","ISSN":"1312-1723","abstract":"The development of the physical capacity and raising the level of motor skills have always been the main task of physical education and sports. The reduced physical capacity is a result of the reduced motor activity of the learners, ie. there are significant gaps in the motor regime in schools. In the development of extracurricular forms of sports we see one of the opportunities for purposeful and organized implementation of the tasks of the physical education with children in their leisure time. The condition of the normative base and the conditions for conducting the class and extracurricular activities of the physical education and sport is extremely important. The purpose of our study is to examine the opinion of the physical education teachers on the legal framework and conditions in the learning environment to provide classroom and extracurricular activities in physical education and sports. The survey method was used for the purposes of the study. A special closed questionnaire contains 17 questions and was compiled according to the nature of the survey. The survey was conducted in September and October 2020. The subject of the survey are 30 teachers, of which 13 men and 17 women. The results are analyzed and presented on the basis of the analysis of frequencies (f) and percentages (%).","author":[{"dropping-particle":"","family":"Ignatov","given":"G.","non-dropping-particle":"","parse-names":false,"suffix":""},{"dropping-particle":"","family":"Echeva","given":"G.","non-dropping-particle":"","parse-names":false,"suffix":""}],"container-title":"Trakia Journal of Sciences","id":"ITEM-1","issue":"Suppl.1","issued":{"date-parts":[["2021"]]},"page":"677-683","title":"State of the Regulatory Basis and Conditions in the Learning Environment for Providing Class and Extracurricular Activities in Physical Education and Sport","type":"article-journal","volume":"19"},"uris":["http://www.mendeley.com/documents/?uuid=6724e53d-a527-4856-8865-4241e26b1ab1"]}],"mendeley":{"formattedCitation":"(Ignatov &amp; Echeva, 2021)","plainTextFormattedCitation":"(Ignatov &amp; Echeva, 2021)","previouslyFormattedCitation":"(Ignatov &amp; Echeva, 2021)"},"properties":{"noteIndex":0},"schema":"https://github.com/citation-style-language/schema/raw/master/csl-citation.json"}</w:instrText>
      </w:r>
      <w:r w:rsidR="00BD752F">
        <w:rPr>
          <w:rFonts w:eastAsia="MS Mincho"/>
          <w:szCs w:val="24"/>
          <w:lang w:val="en-ID" w:eastAsia="en-US"/>
        </w:rPr>
        <w:fldChar w:fldCharType="separate"/>
      </w:r>
      <w:r w:rsidR="00BD752F" w:rsidRPr="00BD752F">
        <w:rPr>
          <w:rFonts w:eastAsia="MS Mincho"/>
          <w:noProof/>
          <w:szCs w:val="24"/>
          <w:lang w:val="en-ID" w:eastAsia="en-US"/>
        </w:rPr>
        <w:t>(Ignatov &amp; Echeva, 2021)</w:t>
      </w:r>
      <w:r w:rsidR="00BD752F">
        <w:rPr>
          <w:rFonts w:eastAsia="MS Mincho"/>
          <w:szCs w:val="24"/>
          <w:lang w:val="en-ID" w:eastAsia="en-US"/>
        </w:rPr>
        <w:fldChar w:fldCharType="end"/>
      </w:r>
      <w:r w:rsidRPr="00C322F8">
        <w:rPr>
          <w:rFonts w:eastAsia="MS Mincho"/>
          <w:szCs w:val="24"/>
          <w:lang w:val="en-ID" w:eastAsia="en-US"/>
        </w:rPr>
        <w:t>.</w:t>
      </w:r>
    </w:p>
    <w:p w14:paraId="7CB46DA5" w14:textId="29B57485"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 xml:space="preserve">Penelitian menunjukkan bahwa anak yang aktif secara fisik memiliki tingkat kompetensi motorik kasar yang lebih tinggi dibandingkan anak yang kurang aktif. Misalnya, studi oleh </w:t>
      </w:r>
      <w:r w:rsidR="00690CEF">
        <w:rPr>
          <w:rFonts w:eastAsia="MS Mincho"/>
          <w:szCs w:val="24"/>
          <w:lang w:val="en-ID" w:eastAsia="en-US"/>
        </w:rPr>
        <w:fldChar w:fldCharType="begin" w:fldLock="1"/>
      </w:r>
      <w:r w:rsidR="00690CEF">
        <w:rPr>
          <w:rFonts w:eastAsia="MS Mincho"/>
          <w:szCs w:val="24"/>
          <w:lang w:val="en-ID" w:eastAsia="en-US"/>
        </w:rPr>
        <w:instrText>ADDIN CSL_CITATION {"citationItems":[{"id":"ITEM-1","itemData":{"DOI":"10.7251/SSH2402179P","ISSN":"2232822X","abstract":"This study aims to establish differences in anthropometric characteristics and motor-basic skills between children who actively engage in sports outside of regular learning activities and those who are inactive. The study included 100 male children aged 12 years, from elementary school “TREPÇA” in Istog. Fifty of them are actively involved in different sports, while the other fifty are not active besides the school PE classes. The methods used to achieve the objectives of this study include descriptive statistical methods (measures of central tendency, distribution, and correlations), as well as the T-test method to confirm differences between the groups. The results were analysed using SPSS 20.0 software. In the anthro-pometric domain, statistically significant changes are observed in all variables except for thigh circumference, and these changes favour active children. Similarly, there are statistically significant changes in motor skills in all variables, except for the variable of standing long jump, again in favour of active children. Based on the anthropometric parameters, it can be concluded that the biological development and growth of these children are normal for their age. The distribution of results in anthropometric and motoric variables is normal, with slight asymmetry and predominantly positive values. After analyzing the results, it is clear that statistically significant changes were observed in most of the assessments conducted in this study. In the anthropometric domain, significant statistical differences were found in all variables except arm span. Likewise, in the basic motor skills domain, the active student group consistently outperformed their inactive peers in all tests, indicating higher proficiency levels among the active cohort.","author":[{"dropping-particle":"","family":"Pireva","given":"Fatmir","non-dropping-particle":"","parse-names":false,"suffix":""},{"dropping-particle":"","family":"Vehapi","given":"Shemsedin","non-dropping-particle":"","parse-names":false,"suffix":""},{"dropping-particle":"","family":"Pireva","given":"Ardita","non-dropping-particle":"","parse-names":false,"suffix":""}],"container-title":"Sportske Nauke i Zdravlje","id":"ITEM-1","issue":"2","issued":{"date-parts":[["2024"]]},"page":"179-183","title":"The Impact of Extracurricular Physical Activities on the Development of Motor Skills and anthropometric characteristics in 12 Year School Children","type":"article-journal","volume":"14"},"uris":["http://www.mendeley.com/documents/?uuid=0079a429-3356-413a-bd77-772f566d15d2"]}],"mendeley":{"formattedCitation":"(Pireva et al., 2024)","plainTextFormattedCitation":"(Pireva et al., 2024)","previouslyFormattedCitation":"(Pireva et al., 2024)"},"properties":{"noteIndex":0},"schema":"https://github.com/citation-style-language/schema/raw/master/csl-citation.json"}</w:instrText>
      </w:r>
      <w:r w:rsidR="00690CEF">
        <w:rPr>
          <w:rFonts w:eastAsia="MS Mincho"/>
          <w:szCs w:val="24"/>
          <w:lang w:val="en-ID" w:eastAsia="en-US"/>
        </w:rPr>
        <w:fldChar w:fldCharType="separate"/>
      </w:r>
      <w:r w:rsidR="00690CEF" w:rsidRPr="00690CEF">
        <w:rPr>
          <w:rFonts w:eastAsia="MS Mincho"/>
          <w:noProof/>
          <w:szCs w:val="24"/>
          <w:lang w:val="en-ID" w:eastAsia="en-US"/>
        </w:rPr>
        <w:t>(Pireva et al., 2024)</w:t>
      </w:r>
      <w:r w:rsidR="00690CEF">
        <w:rPr>
          <w:rFonts w:eastAsia="MS Mincho"/>
          <w:szCs w:val="24"/>
          <w:lang w:val="en-ID" w:eastAsia="en-US"/>
        </w:rPr>
        <w:fldChar w:fldCharType="end"/>
      </w:r>
      <w:r w:rsidR="00690CEF">
        <w:rPr>
          <w:rFonts w:eastAsia="MS Mincho"/>
          <w:szCs w:val="24"/>
          <w:lang w:val="en-ID" w:eastAsia="en-US"/>
        </w:rPr>
        <w:t>,</w:t>
      </w:r>
      <w:r w:rsidRPr="00C322F8">
        <w:rPr>
          <w:rFonts w:eastAsia="MS Mincho"/>
          <w:szCs w:val="24"/>
          <w:lang w:val="en-ID" w:eastAsia="en-US"/>
        </w:rPr>
        <w:t xml:space="preserve"> menemukan bahwa anak laki-laki berusia 12 tahun yang aktif mengikuti kegiatan olahraga ekstrakurikuler menunjukkan skor motorik kasar yang lebih baik dibandingkan mereka yang tidak aktif. Temuan serupa juga dilaporkan oleh Moon et al. (2024), yang menunjukkan bahwa aktivitas fisik beragam sejak usia dini berkorelasi positif dengan kompetensi motorik di kemudian hari</w:t>
      </w:r>
      <w:r w:rsidR="00690CEF">
        <w:rPr>
          <w:rFonts w:eastAsia="MS Mincho"/>
          <w:szCs w:val="24"/>
          <w:lang w:val="en-ID" w:eastAsia="en-US"/>
        </w:rPr>
        <w:t xml:space="preserve"> </w:t>
      </w:r>
      <w:r w:rsidR="00690CEF">
        <w:rPr>
          <w:rFonts w:eastAsia="MS Mincho"/>
          <w:szCs w:val="24"/>
          <w:lang w:val="en-ID" w:eastAsia="en-US"/>
        </w:rPr>
        <w:fldChar w:fldCharType="begin" w:fldLock="1"/>
      </w:r>
      <w:r w:rsidR="00690CEF">
        <w:rPr>
          <w:rFonts w:eastAsia="MS Mincho"/>
          <w:szCs w:val="24"/>
          <w:lang w:val="en-ID" w:eastAsia="en-US"/>
        </w:rPr>
        <w:instrText>ADDIN CSL_CITATION {"citationItems":[{"id":"ITEM-1","itemData":{"DOI":"10.1186/s12889-021-11343-1","ISSN":"14712458","PMID":"34340663","abstract":"Background: Research indicates that childhood motor competence (MC) can predict physical activity (PA) levels later in life and it has been argued that frequently engaging in a wide diversity of physical activities will eventually improve children’s MC. However, no longitudinal or experimental studies have confirmed this theoretical rationale. The aims of this study are to explore the longitudinal associations between diversified physical activities at age six and later MC and PA (time spent in moderate-to-vigorous PA) (age nine and 13). Furthermore, we explore to what extent the longitudinal association between diversified physical activity and PA is mediated by MC. Methods: Longitudinal data from the Copenhagen School Intervention Study were used for this analysis, where 704 participated (69% response rate). Diversified physical activity (self-reported), MC (The Körperkoordinationstest für Kinder battery of postural stability and locomotor skills) and PA (accelerometer) were assessed in the children at age six, age nine and age 13. A total of 654 participated in at least two of the measures and, therefore, were included in the analysis. Two structural equation models were constructed, with diversified physical activity at age six and MC and PA at age nine as predictors of PA and MC at age 13. Results: The data from both models demonstrated good model fit. Diversified physical activity at 6 years of age was significantly associated with physical activity and MC at age 13, when adjusting for sex, age, intervention, weight, height, and previous levels of PA and MC. Diversified physical activity at age six was also positively associated with PA and MC at age nine, which were, in turn, positively related to PA at age 13 but to a lesser degree than diversified PA at age six. The association between diversified physical activity at age six and PA at age 13 was not mediated by MC at age nine. Conclusions: The results of this study indicate that diversified physical activity at age six is important for the development of MC and PA in adolescence. Increasing the diversity of children’s daily physical activities, not only the amount and intensity, seems important for future PA behavior and thereby health promotion in a life course perspective.","author":[{"dropping-particle":"","family":"Melby","given":"Paulina S.","non-dropping-particle":"","parse-names":false,"suffix":""},{"dropping-particle":"","family":"Elsborg","given":"Peter","non-dropping-particle":"","parse-names":false,"suffix":""},{"dropping-particle":"","family":"Nielsen","given":"Glen","non-dropping-particle":"","parse-names":false,"suffix":""},{"dropping-particle":"","family":"Lima","given":"Rodrigo A.","non-dropping-particle":"","parse-names":false,"suffix":""},{"dropping-particle":"","family":"Bentsen","given":"Peter","non-dropping-particle":"","parse-names":false,"suffix":""},{"dropping-particle":"","family":"Andersen","given":"Lars B.","non-dropping-particle":"","parse-names":false,"suffix":""}],"container-title":"BMC Public Health","id":"ITEM-1","issue":"1","issued":{"date-parts":[["2021"]]},"page":"1-15","publisher":"BMC Public Health","title":"Exploring the importance of diversified physical activities in early childhood for later motor competence and physical activity level: a seven-year longitudinal study","type":"article-journal","volume":"21"},"uris":["http://www.mendeley.com/documents/?uuid=58c60745-5a82-4868-9e65-aa6eb158a117"]}],"mendeley":{"formattedCitation":"(Melby et al., 2021)","plainTextFormattedCitation":"(Melby et al., 2021)","previouslyFormattedCitation":"(Melby et al., 2021)"},"properties":{"noteIndex":0},"schema":"https://github.com/citation-style-language/schema/raw/master/csl-citation.json"}</w:instrText>
      </w:r>
      <w:r w:rsidR="00690CEF">
        <w:rPr>
          <w:rFonts w:eastAsia="MS Mincho"/>
          <w:szCs w:val="24"/>
          <w:lang w:val="en-ID" w:eastAsia="en-US"/>
        </w:rPr>
        <w:fldChar w:fldCharType="separate"/>
      </w:r>
      <w:r w:rsidR="00690CEF" w:rsidRPr="00690CEF">
        <w:rPr>
          <w:rFonts w:eastAsia="MS Mincho"/>
          <w:noProof/>
          <w:szCs w:val="24"/>
          <w:lang w:val="en-ID" w:eastAsia="en-US"/>
        </w:rPr>
        <w:t>(Melby et al., 2021)</w:t>
      </w:r>
      <w:r w:rsidR="00690CEF">
        <w:rPr>
          <w:rFonts w:eastAsia="MS Mincho"/>
          <w:szCs w:val="24"/>
          <w:lang w:val="en-ID" w:eastAsia="en-US"/>
        </w:rPr>
        <w:fldChar w:fldCharType="end"/>
      </w:r>
      <w:r w:rsidRPr="00C322F8">
        <w:rPr>
          <w:rFonts w:eastAsia="MS Mincho"/>
          <w:szCs w:val="24"/>
          <w:lang w:val="en-ID" w:eastAsia="en-US"/>
        </w:rPr>
        <w:t>.</w:t>
      </w:r>
    </w:p>
    <w:p w14:paraId="30DF607B" w14:textId="009C9EEB"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Namun, di Indonesia, terutama pada sekolah dasar swasta atau sekolah Islam seperti SDI Al-Chusnaini, penelitian yang secara spesifik membandingkan anak yang mengikuti dan tidak mengikuti ekstrakurikuler olahraga menggunakan instrumen TGMD-2 masih terbatas</w:t>
      </w:r>
      <w:r w:rsidR="00690CEF">
        <w:rPr>
          <w:rFonts w:eastAsia="MS Mincho"/>
          <w:szCs w:val="24"/>
          <w:lang w:val="en-ID" w:eastAsia="en-US"/>
        </w:rPr>
        <w:t xml:space="preserve"> </w:t>
      </w:r>
      <w:r w:rsidR="00690CEF">
        <w:rPr>
          <w:rFonts w:eastAsia="MS Mincho"/>
          <w:szCs w:val="24"/>
          <w:lang w:val="en-ID" w:eastAsia="en-US"/>
        </w:rPr>
        <w:fldChar w:fldCharType="begin" w:fldLock="1"/>
      </w:r>
      <w:r w:rsidR="004B5A05">
        <w:rPr>
          <w:rFonts w:eastAsia="MS Mincho"/>
          <w:szCs w:val="24"/>
          <w:lang w:val="en-ID" w:eastAsia="en-US"/>
        </w:rPr>
        <w:instrText>ADDIN CSL_CITATION {"citationItems":[{"id":"ITEM-1","itemData":{"DOI":"10.22034/IJCE.2024.487930.1615","abstract":"This study conducted a comparative analysis of extracurricular activities within the educational systems of Iran, Finland, and Malaysia, using George Bereday's model. The selection of these countries was based on the idea that \"different social systems lead to different educational outcomes.\" To gather primary and secondary data, data was sourced from reputable international database, including UNESCO and the Ministries of Education of the selected countries. Face validity was employed to ensure data accuracy, while intra-subject agreement was used to assess reliability. The findings revealed significant similarities among Finland, Malaysia, and Iran in their objectives, comprehensive student development focus, and diversity of activities offered. However, notable differences were observed regarding the defined roles and training for teachers, the voluntary nature of participation in activities, and the involvement of other organizations and clubs. Malaysia and Finland prioritize educational equity and provide a wide range of free in-school programs. In contrast, various sports, clubs, and artistic programs in those nations are typically available at specific times or in specialized centers outside of school hours. On the other hand, Iran mainly implements its programs during school hours and places less emphasis on program evaluation compared to Malaysia and Finland, where rigorous evaluations are standard practice. Based on these findings, it is recommended that education policymakers focus on enhancing the role of coaches, increasing the flexibility and diversity of programs, providing support for program implementation, and strengthening oversight in the evaluation of extracurricular activities.","author":[{"dropping-particle":"","family":"Alipour","given":"Farhad","non-dropping-particle":"","parse-names":false,"suffix":""},{"dropping-particle":"","family":"Hejazi","given":"Asad","non-dropping-particle":"","parse-names":false,"suffix":""},{"dropping-particle":"","family":"Khanvani","given":"Mohamad Ramazani","non-dropping-particle":"","parse-names":false,"suffix":""}],"container-title":"Iranian Journal of Comparative Education","id":"ITEM-1","issue":"1","issued":{"date-parts":[["2025"]]},"page":"3358-3381","title":"A Comparative Study of Extracurricular Activities in Education Systems of Iran, Finland and Malaysia","type":"article-journal","volume":"8"},"uris":["http://www.mendeley.com/documents/?uuid=34590645-0cb9-4262-809c-fb1e44724c1d"]}],"mendeley":{"formattedCitation":"(Alipour et al., 2025)","plainTextFormattedCitation":"(Alipour et al., 2025)","previouslyFormattedCitation":"(Alipour et al., 2025)"},"properties":{"noteIndex":0},"schema":"https://github.com/citation-style-language/schema/raw/master/csl-citation.json"}</w:instrText>
      </w:r>
      <w:r w:rsidR="00690CEF">
        <w:rPr>
          <w:rFonts w:eastAsia="MS Mincho"/>
          <w:szCs w:val="24"/>
          <w:lang w:val="en-ID" w:eastAsia="en-US"/>
        </w:rPr>
        <w:fldChar w:fldCharType="separate"/>
      </w:r>
      <w:r w:rsidR="00690CEF" w:rsidRPr="00690CEF">
        <w:rPr>
          <w:rFonts w:eastAsia="MS Mincho"/>
          <w:noProof/>
          <w:szCs w:val="24"/>
          <w:lang w:val="en-ID" w:eastAsia="en-US"/>
        </w:rPr>
        <w:t>(Alipour et al., 2025)</w:t>
      </w:r>
      <w:r w:rsidR="00690CEF">
        <w:rPr>
          <w:rFonts w:eastAsia="MS Mincho"/>
          <w:szCs w:val="24"/>
          <w:lang w:val="en-ID" w:eastAsia="en-US"/>
        </w:rPr>
        <w:fldChar w:fldCharType="end"/>
      </w:r>
      <w:r w:rsidRPr="00C322F8">
        <w:rPr>
          <w:rFonts w:eastAsia="MS Mincho"/>
          <w:szCs w:val="24"/>
          <w:lang w:val="en-ID" w:eastAsia="en-US"/>
        </w:rPr>
        <w:t>. Hal ini menimbulkan kebutuhan untuk melakukan kajian empiris guna mengisi celah penelitian tersebut.</w:t>
      </w:r>
    </w:p>
    <w:p w14:paraId="04852D2C" w14:textId="4E20AD93"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Permasalahan keterampilan motorik kasar yang belum optimal pada anak usia 9–12 tahun memiliki implikasi penting</w:t>
      </w:r>
      <w:r w:rsidR="00690CEF">
        <w:rPr>
          <w:rFonts w:eastAsia="MS Mincho"/>
          <w:szCs w:val="24"/>
          <w:lang w:val="en-ID" w:eastAsia="en-US"/>
        </w:rPr>
        <w:t xml:space="preserve"> </w:t>
      </w:r>
      <w:r w:rsidR="004B5A05">
        <w:rPr>
          <w:rFonts w:eastAsia="MS Mincho"/>
          <w:szCs w:val="24"/>
          <w:lang w:val="en-ID" w:eastAsia="en-US"/>
        </w:rPr>
        <w:fldChar w:fldCharType="begin" w:fldLock="1"/>
      </w:r>
      <w:r w:rsidR="004B5A05">
        <w:rPr>
          <w:rFonts w:eastAsia="MS Mincho"/>
          <w:szCs w:val="24"/>
          <w:lang w:val="en-ID" w:eastAsia="en-US"/>
        </w:rPr>
        <w:instrText>ADDIN CSL_CITATION {"citationItems":[{"id":"ITEM-1","itemData":{"DOI":"10.3390/educsci11090513","ISSN":"22277102","abstract":"Recent studies highlight the effect of cognitive factors on academic achievement, ignoring motivational, emotional, and social factors. This provides the background for the present study, a meta-analysis on the relationship between academic achievement and motivational factors (motiva-tion, self-concept, and self-esteem), emotional factors (emotional intelligence, emotional competence, and emotional well-being), and social factors (social intelligence, social competence, and social skills) in children aged 6–12 years (37 samples, n = 15,777). The methodology based on the PRISMA protocols was applied: phases of inclusion and exclusion of articles, analysis of effect size, hetero-geneity, publication bias, and, finally, meta-regressions and moderation analysis. The results showed a moderate positive effect size (0.321) for motivational and social factors (0.210) and a small positive effect size (0.172) for emotional factors. The moderating effects of age (65% on social factors) and geographical area (52% on motivational factors, 17% on emotional factors, and 76% on social factors) were studied. These results highlight the importance of motivational and social factors regarding academic achievement. In addition, along with the moderating effect of age, that of geographical area emerges strongly given the diversity of contexts studied. Our results highlight the importance that these factors have on academic performance and, therefore, the need to design school plans that address the correct development of these variables.","author":[{"dropping-particle":"","family":"Quílez-Robres","given":"Alberto","non-dropping-particle":"","parse-names":false,"suffix":""},{"dropping-particle":"","family":"Moyano","given":"Nieves","non-dropping-particle":"","parse-names":false,"suffix":""},{"dropping-particle":"","family":"Cortés-Pascual","given":"Alejandra","non-dropping-particle":"","parse-names":false,"suffix":""}],"container-title":"Education Sciences","id":"ITEM-1","issue":"9","issued":{"date-parts":[["2021"]]},"title":"Motivational, emotional, and social factors explain academic achievement in children aged 6–12 years: A meta-analysis","type":"article-journal","volume":"11"},"uris":["http://www.mendeley.com/documents/?uuid=555bb38d-f662-4882-88be-2342cb6c99a4"]}],"mendeley":{"formattedCitation":"(Quílez-Robres et al., 2021)","plainTextFormattedCitation":"(Quílez-Robres et al., 2021)","previouslyFormattedCitation":"(Quílez-Robres et al., 2021)"},"properties":{"noteIndex":0},"schema":"https://github.com/citation-style-language/schema/raw/master/csl-citation.json"}</w:instrText>
      </w:r>
      <w:r w:rsidR="004B5A05">
        <w:rPr>
          <w:rFonts w:eastAsia="MS Mincho"/>
          <w:szCs w:val="24"/>
          <w:lang w:val="en-ID" w:eastAsia="en-US"/>
        </w:rPr>
        <w:fldChar w:fldCharType="separate"/>
      </w:r>
      <w:r w:rsidR="004B5A05" w:rsidRPr="004B5A05">
        <w:rPr>
          <w:rFonts w:eastAsia="MS Mincho"/>
          <w:noProof/>
          <w:szCs w:val="24"/>
          <w:lang w:val="en-ID" w:eastAsia="en-US"/>
        </w:rPr>
        <w:t>(Quílez-Robres et al., 2021)</w:t>
      </w:r>
      <w:r w:rsidR="004B5A05">
        <w:rPr>
          <w:rFonts w:eastAsia="MS Mincho"/>
          <w:szCs w:val="24"/>
          <w:lang w:val="en-ID" w:eastAsia="en-US"/>
        </w:rPr>
        <w:fldChar w:fldCharType="end"/>
      </w:r>
      <w:r w:rsidRPr="00C322F8">
        <w:rPr>
          <w:rFonts w:eastAsia="MS Mincho"/>
          <w:szCs w:val="24"/>
          <w:lang w:val="en-ID" w:eastAsia="en-US"/>
        </w:rPr>
        <w:t xml:space="preserve">. Anak dengan kompetensi motorik yang rendah berisiko kurang aktif secara fisik, mengalami masalah berat badan, dan memiliki risiko kesehatan jangka panjang. Selain itu, kemampuan motorik yang baik juga berkaitan dengan perkembangan sosial, emosional, dan akademik anak </w:t>
      </w:r>
      <w:r w:rsidR="004B5A05">
        <w:rPr>
          <w:rFonts w:eastAsia="MS Mincho"/>
          <w:szCs w:val="24"/>
          <w:lang w:val="en-ID" w:eastAsia="en-US"/>
        </w:rPr>
        <w:fldChar w:fldCharType="begin" w:fldLock="1"/>
      </w:r>
      <w:r w:rsidR="004B5A05">
        <w:rPr>
          <w:rFonts w:eastAsia="MS Mincho"/>
          <w:szCs w:val="24"/>
          <w:lang w:val="en-ID" w:eastAsia="en-US"/>
        </w:rPr>
        <w:instrText>ADDIN CSL_CITATION {"citationItems":[{"id":"ITEM-1","itemData":{"DOI":"10.62004/kpc.v3i1.30","ISSN":"2830-6317","abstract":"Background: Physical activity is vital in growth and development, maturation of motor and physiological functions, and cognitive abilities in the pediatric population. In children, sufficient physical activity is reported to help develop motor skills. This is because to have a good quality of movement, abilities obtained through habits in physical activity are needed. This study aimed to determine the effect of physical activity on the development of motor skills in children aged 3-12 years. Methods: The type of research was a literature review based on the review process of research articles that discuss the effect of physical activity on the development of motor skills in children aged 3-12 years. The search for articles was done from the Google Scholar and PubMed databases. Results: Based on the five selected journals in this literature review, significant positive results were obtained between physical activity and the development of motor skills in children aged 3-12 years old. The specifications of the motor skills that develop in children vary depending on the form, type, and settings of the physical activity. Conclusion: Physical activity seemed to affect the development of children's motor skills. The development of motor skills in children occurs gradually, along with physical development and stimulation of activities that spur better skills.","author":[{"dropping-particle":"","family":"Pradnyani","given":"Tjokorda Istri Agung Rosanthi","non-dropping-particle":"","parse-names":false,"suffix":""},{"dropping-particle":"","family":"Pramita","given":"Indah","non-dropping-particle":"","parse-names":false,"suffix":""},{"dropping-particle":"","family":"Tianing","given":"Ni Wayan","non-dropping-particle":"","parse-names":false,"suffix":""}],"container-title":"Kinesiology and Physiotherapy Comprehensive","id":"ITEM-1","issue":"1","issued":{"date-parts":[["2024"]]},"page":"23-28","title":"The effect of physical activity for the development of motor skill in children aged 3-12 years old: a narrative review","type":"article-journal","volume":"3"},"uris":["http://www.mendeley.com/documents/?uuid=aadb27b6-71e3-4f32-9560-7c029c596882"]}],"mendeley":{"formattedCitation":"(Pradnyani et al., 2024)","plainTextFormattedCitation":"(Pradnyani et al., 2024)","previouslyFormattedCitation":"(Pradnyani et al., 2024)"},"properties":{"noteIndex":0},"schema":"https://github.com/citation-style-language/schema/raw/master/csl-citation.json"}</w:instrText>
      </w:r>
      <w:r w:rsidR="004B5A05">
        <w:rPr>
          <w:rFonts w:eastAsia="MS Mincho"/>
          <w:szCs w:val="24"/>
          <w:lang w:val="en-ID" w:eastAsia="en-US"/>
        </w:rPr>
        <w:fldChar w:fldCharType="separate"/>
      </w:r>
      <w:r w:rsidR="004B5A05" w:rsidRPr="004B5A05">
        <w:rPr>
          <w:rFonts w:eastAsia="MS Mincho"/>
          <w:noProof/>
          <w:szCs w:val="24"/>
          <w:lang w:val="en-ID" w:eastAsia="en-US"/>
        </w:rPr>
        <w:t>(Pradnyani et al., 2024)</w:t>
      </w:r>
      <w:r w:rsidR="004B5A05">
        <w:rPr>
          <w:rFonts w:eastAsia="MS Mincho"/>
          <w:szCs w:val="24"/>
          <w:lang w:val="en-ID" w:eastAsia="en-US"/>
        </w:rPr>
        <w:fldChar w:fldCharType="end"/>
      </w:r>
      <w:r w:rsidR="004B5A05">
        <w:rPr>
          <w:rFonts w:eastAsia="MS Mincho"/>
          <w:szCs w:val="24"/>
          <w:lang w:val="en-ID" w:eastAsia="en-US"/>
        </w:rPr>
        <w:t>.</w:t>
      </w:r>
    </w:p>
    <w:p w14:paraId="0422A656" w14:textId="585BACA9"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Berbagai studi telah mendukung validitas dan reliabilitas TGMD-2 di berbagai negara, termasuk Indonesia. Misalnya, penelitian di Surakarta menunjukkan nilai KMO sebesar 0,837 dan reliabilitas alpha 0,743 untuk TGMD-2</w:t>
      </w:r>
      <w:r w:rsidR="004B5A05">
        <w:rPr>
          <w:rFonts w:eastAsia="MS Mincho"/>
          <w:szCs w:val="24"/>
          <w:lang w:val="en-ID" w:eastAsia="en-US"/>
        </w:rPr>
        <w:t xml:space="preserve"> </w:t>
      </w:r>
      <w:r w:rsidR="004B5A05">
        <w:rPr>
          <w:rFonts w:eastAsia="MS Mincho"/>
          <w:szCs w:val="24"/>
          <w:lang w:val="en-ID" w:eastAsia="en-US"/>
        </w:rPr>
        <w:fldChar w:fldCharType="begin" w:fldLock="1"/>
      </w:r>
      <w:r w:rsidR="004B5A05">
        <w:rPr>
          <w:rFonts w:eastAsia="MS Mincho"/>
          <w:szCs w:val="24"/>
          <w:lang w:val="en-ID" w:eastAsia="en-US"/>
        </w:rPr>
        <w:instrText>ADDIN CSL_CITATION {"citationItems":[{"id":"ITEM-1","itemData":{"ISSN":"2986-8831","abstract":"Motor assessment tests are widely used in many countries, including the Gross Motor Development Test 2 (TGMD-2). TGMD-2 is the most frequently used test to measure children's gross motor development in many countries. The purpose of this research is to be investigated whether TGMD-2 is suitable for measuring gross motor development in Surakarta boys aged 7-10 years. The participants involved in this study were 355 boys aged between 7-10 years, who attended state elementary school. Construct validity was calculated by Exploratory Factor Analysis, and reliability by Cronbach's Alpha. The result of the calculation is average Keyser-Meyer-Olkin (KMO) value is 0.837. This figure indicates that TGMD-2 is good for confirmation purposes. While the reliability is 0.743, categorized as medium. In conclusion, thus it can be concluded that TGMD-2 can used to assess gross motor development of the studied population. ARTICLE HISTORY","author":[{"dropping-particle":"","family":"Wijanarko","given":"Bambang","non-dropping-particle":"","parse-names":false,"suffix":""},{"dropping-particle":"","family":"Nuryadin","given":"Islahuzzaman","non-dropping-particle":"","parse-names":false,"suffix":""},{"dropping-particle":"","family":"Iqbal Doewes","given":"Rumi","non-dropping-particle":"","parse-names":false,"suffix":""},{"dropping-particle":"","family":"Muhyi","given":"Muhammad","non-dropping-particle":"","parse-names":false,"suffix":""}],"container-title":"Indonesian Journal of Research in Physical Education","id":"ITEM-1","issue":"1","issued":{"date-parts":[["2023"]]},"page":"73","title":"INDONESIAN JOURNAL OF RESEARCH IN PHYSICAL EDUCATION, SPORT, AND HEALTH Validity and reliability of TGMD-2 Surakarta children aged 7-10 years Sport Coaching Education Program, Universitas Sebelas Maret, Indonesia","type":"article-journal","volume":"1"},"uris":["http://www.mendeley.com/documents/?uuid=70056d56-a33d-416e-9d5d-ec1b54f52bb4"]}],"mendeley":{"formattedCitation":"(Wijanarko et al., 2023)","plainTextFormattedCitation":"(Wijanarko et al., 2023)","previouslyFormattedCitation":"(Wijanarko et al., 2023)"},"properties":{"noteIndex":0},"schema":"https://github.com/citation-style-language/schema/raw/master/csl-citation.json"}</w:instrText>
      </w:r>
      <w:r w:rsidR="004B5A05">
        <w:rPr>
          <w:rFonts w:eastAsia="MS Mincho"/>
          <w:szCs w:val="24"/>
          <w:lang w:val="en-ID" w:eastAsia="en-US"/>
        </w:rPr>
        <w:fldChar w:fldCharType="separate"/>
      </w:r>
      <w:r w:rsidR="004B5A05" w:rsidRPr="004B5A05">
        <w:rPr>
          <w:rFonts w:eastAsia="MS Mincho"/>
          <w:noProof/>
          <w:szCs w:val="24"/>
          <w:lang w:val="en-ID" w:eastAsia="en-US"/>
        </w:rPr>
        <w:t>(Wijanarko et al., 2023)</w:t>
      </w:r>
      <w:r w:rsidR="004B5A05">
        <w:rPr>
          <w:rFonts w:eastAsia="MS Mincho"/>
          <w:szCs w:val="24"/>
          <w:lang w:val="en-ID" w:eastAsia="en-US"/>
        </w:rPr>
        <w:fldChar w:fldCharType="end"/>
      </w:r>
      <w:r w:rsidR="004B5A05">
        <w:rPr>
          <w:rFonts w:eastAsia="MS Mincho"/>
          <w:szCs w:val="24"/>
          <w:lang w:val="en-ID" w:eastAsia="en-US"/>
        </w:rPr>
        <w:t>.</w:t>
      </w:r>
      <w:r w:rsidRPr="00C322F8">
        <w:rPr>
          <w:rFonts w:eastAsia="MS Mincho"/>
          <w:szCs w:val="24"/>
          <w:lang w:val="en-ID" w:eastAsia="en-US"/>
        </w:rPr>
        <w:t xml:space="preserve"> Hasil serupa juga ditemukan di Brasil, menunjukkan bahwa TGMD-2 layak digunakan dalam konteks Indonesia dengan penyesuaian budaya tertentu</w:t>
      </w:r>
      <w:r w:rsidR="004B5A05">
        <w:rPr>
          <w:rFonts w:eastAsia="MS Mincho"/>
          <w:szCs w:val="24"/>
          <w:lang w:val="en-ID" w:eastAsia="en-US"/>
        </w:rPr>
        <w:t xml:space="preserve"> </w:t>
      </w:r>
      <w:r w:rsidR="004B5A05">
        <w:rPr>
          <w:rFonts w:eastAsia="MS Mincho"/>
          <w:szCs w:val="24"/>
          <w:lang w:val="en-ID" w:eastAsia="en-US"/>
        </w:rPr>
        <w:fldChar w:fldCharType="begin" w:fldLock="1"/>
      </w:r>
      <w:r w:rsidR="008101E9">
        <w:rPr>
          <w:rFonts w:eastAsia="MS Mincho"/>
          <w:szCs w:val="24"/>
          <w:lang w:val="en-ID" w:eastAsia="en-US"/>
        </w:rPr>
        <w:instrText>ADDIN CSL_CITATION {"citationItems":[{"id":"ITEM-1","itemData":{"abstract":"The Test of Gross Motor Development (TGMD-2) is broadly used in research and clinical settings. The author aimed to translate and investigate the content, criteria, and construct va- lidity and reliability of the TGMD-2 for Brazilian children. The study involved translators, experts, and 3,124 Brazilian children from several states of Brazil. Results confirmed language clarity and pertinence of the TGMD-2. Appropriate indices of the con- firmatory factorial validity (root mean square error of approxima- tion = .06; comparative fit index = .88; Tucker-Lewis index = .83; normed fit index = .09; goodness-of-fit index = .98; adjusted and inter- and intrarater reliability were found. Concurrent validity goodness-of-fit index = .95), test-retest (values from .83 to .91) between TGMD-2 and Movement Assessment Battery for Children was weak. The TGMD-2 is a validity and reliability instrument for Brazilian children biased attribution pattern in turn may reduce the effectiveness of decision making, leading to poorer future performance. ?? 1993.","author":[{"dropping-particle":"","family":"Valentini","given":"Nadia Cristina","non-dropping-particle":"","parse-names":false,"suffix":""}],"container-title":"Journal of Motor Behavior","id":"ITEM-1","issue":"4","issued":{"date-parts":[["2012"]]},"page":"275-280","title":"Journal of Motor Behavior","type":"article-journal","volume":"44"},"uris":["http://www.mendeley.com/documents/?uuid=4242c7ad-417e-4c44-990e-34bd4bd05639"]}],"mendeley":{"formattedCitation":"(Valentini, 2012)","plainTextFormattedCitation":"(Valentini, 2012)","previouslyFormattedCitation":"(Valentini, 2012)"},"properties":{"noteIndex":0},"schema":"https://github.com/citation-style-language/schema/raw/master/csl-citation.json"}</w:instrText>
      </w:r>
      <w:r w:rsidR="004B5A05">
        <w:rPr>
          <w:rFonts w:eastAsia="MS Mincho"/>
          <w:szCs w:val="24"/>
          <w:lang w:val="en-ID" w:eastAsia="en-US"/>
        </w:rPr>
        <w:fldChar w:fldCharType="separate"/>
      </w:r>
      <w:r w:rsidR="004B5A05" w:rsidRPr="004B5A05">
        <w:rPr>
          <w:rFonts w:eastAsia="MS Mincho"/>
          <w:noProof/>
          <w:szCs w:val="24"/>
          <w:lang w:val="en-ID" w:eastAsia="en-US"/>
        </w:rPr>
        <w:t>(Valentini, 2012)</w:t>
      </w:r>
      <w:r w:rsidR="004B5A05">
        <w:rPr>
          <w:rFonts w:eastAsia="MS Mincho"/>
          <w:szCs w:val="24"/>
          <w:lang w:val="en-ID" w:eastAsia="en-US"/>
        </w:rPr>
        <w:fldChar w:fldCharType="end"/>
      </w:r>
      <w:r w:rsidR="004B5A05">
        <w:rPr>
          <w:rFonts w:eastAsia="MS Mincho"/>
          <w:szCs w:val="24"/>
          <w:lang w:val="en-ID" w:eastAsia="en-US"/>
        </w:rPr>
        <w:t xml:space="preserve">. </w:t>
      </w:r>
    </w:p>
    <w:p w14:paraId="4053F14E" w14:textId="6812DB69"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Berdasarkan latar belakang tersebut, penelitian ini bertujuan untuk menganalisis perbedaan tingkat keterampilan motorik kasar antara dua kelompok siswa SDI Al-Chusnaini: (1) yang aktif mengikuti ekstrakurikuler olahraga dan (2) yang tidak mengikuti kegiatan tersebut</w:t>
      </w:r>
      <w:r w:rsidR="008101E9">
        <w:rPr>
          <w:rFonts w:eastAsia="MS Mincho"/>
          <w:szCs w:val="24"/>
          <w:lang w:val="en-ID" w:eastAsia="en-US"/>
        </w:rPr>
        <w:t xml:space="preserve"> </w:t>
      </w:r>
      <w:r w:rsidR="008101E9">
        <w:rPr>
          <w:rFonts w:eastAsia="MS Mincho"/>
          <w:szCs w:val="24"/>
          <w:lang w:val="en-ID" w:eastAsia="en-US"/>
        </w:rPr>
        <w:fldChar w:fldCharType="begin" w:fldLock="1"/>
      </w:r>
      <w:r w:rsidR="008101E9">
        <w:rPr>
          <w:rFonts w:eastAsia="MS Mincho"/>
          <w:szCs w:val="24"/>
          <w:lang w:val="en-ID" w:eastAsia="en-US"/>
        </w:rPr>
        <w:instrText>ADDIN CSL_CITATION {"citationItems":[{"id":"ITEM-1","itemData":{"DOI":"10.1186/s12889-022-14483-0","ISBN":"1288902214483","ISSN":"14712458","PMID":"36380323","abstract":"Background: In recent years, the mental health level and physical activity level of Chinese teenagers are not ideal, and all sectors of society are actively reversing this bad situation. The purpose of this study is to test the influence of healthy physical education curriculum model on middle school students’ extracurricular sports participation based on the trans-contextual model of motivation (TCM). Methods: The trial adopts quasi-experimental design comparing equivalent groups. The experimental group adopted the healthy physical education curriculum model in physical education (PE), and the control group adopted the technical-traditional teaching. During the 12 weeks intervention, 327 junior school freshmen completed the test of TCM variables four times as the pre-test, test 2, test 3 and post-test of this experimental study. Results: After the intervention, students’ perceived need support in PE, autonomous motivation in PE, autonomous motivation in leisure time (LT)and the amount of extracurricular sports activities in the experimental group have increased significantly. The perceived need support of experimental group students can predict autonomous motivation in PE positively (β = 0.385, P&lt;.001); Autonomous motivation in PE can predict autonomous motivation in LT positively (β = 0.462, P&lt;.001); Autonomous motivation in LT can predict the intention of extracurricular sports participation positively, and the direct effect was significant (β = 0.172, P&lt;.01), the total indirect effect was significant (β = 0.382, P&lt;.001), the indirect effect of subjective norms was not significant (P&gt;.05); Extracurricular sports participation intention can predict the amount of extracurricular sports activities positively (β = 0.327, P&lt;.001). Conclusions: The structural characteristics of healthy physical education curriculum model provide need support for students’ learning, improve students’ autonomous motivation in and out of PE, and finally promote students’ participation in extracurricular sports.","author":[{"dropping-particle":"","family":"Hao","given":"Xiaoliang","non-dropping-particle":"","parse-names":false,"suffix":""},{"dropping-particle":"","family":"Yang","given":"Yunyun","non-dropping-particle":"","parse-names":false,"suffix":""}],"container-title":"BMC Public Health","id":"ITEM-1","issue":"1","issued":{"date-parts":[["2022"]]},"page":"1-12","publisher":"BioMed Central","title":"Healthy physical education curriculum model and students’ extracurricular sports participation ——test based on the trans-contextual model of motivation","type":"article-journal","volume":"22"},"uris":["http://www.mendeley.com/documents/?uuid=11f62539-ed75-4cf6-a837-044ca6715419"]}],"mendeley":{"formattedCitation":"(Hao &amp; Yang, 2022)","plainTextFormattedCitation":"(Hao &amp; Yang, 2022)","previouslyFormattedCitation":"(Hao &amp; Yang, 2022)"},"properties":{"noteIndex":0},"schema":"https://github.com/citation-style-language/schema/raw/master/csl-citation.json"}</w:instrText>
      </w:r>
      <w:r w:rsidR="008101E9">
        <w:rPr>
          <w:rFonts w:eastAsia="MS Mincho"/>
          <w:szCs w:val="24"/>
          <w:lang w:val="en-ID" w:eastAsia="en-US"/>
        </w:rPr>
        <w:fldChar w:fldCharType="separate"/>
      </w:r>
      <w:r w:rsidR="008101E9" w:rsidRPr="008101E9">
        <w:rPr>
          <w:rFonts w:eastAsia="MS Mincho"/>
          <w:noProof/>
          <w:szCs w:val="24"/>
          <w:lang w:val="en-ID" w:eastAsia="en-US"/>
        </w:rPr>
        <w:t>(Hao &amp; Yang, 2022)</w:t>
      </w:r>
      <w:r w:rsidR="008101E9">
        <w:rPr>
          <w:rFonts w:eastAsia="MS Mincho"/>
          <w:szCs w:val="24"/>
          <w:lang w:val="en-ID" w:eastAsia="en-US"/>
        </w:rPr>
        <w:fldChar w:fldCharType="end"/>
      </w:r>
      <w:r w:rsidRPr="00C322F8">
        <w:rPr>
          <w:rFonts w:eastAsia="MS Mincho"/>
          <w:szCs w:val="24"/>
          <w:lang w:val="en-ID" w:eastAsia="en-US"/>
        </w:rPr>
        <w:t>. Diharapkan, penelitian ini memberikan bukti empiris dan rekomendasi bagi sekolah, guru pendidikan jasmani, serta orang tua tentang manfaat aktivitas ekstrakurikuler terhadap perkembangan motorik anak.</w:t>
      </w:r>
    </w:p>
    <w:p w14:paraId="6F5D22C9" w14:textId="77777777"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 xml:space="preserve">Populasi penelitian mencakup siswa kelas IV–VI berusia 9–12 tahun dengan total 123 responden, yang dibagi berdasarkan partisipasi dalam ekstrakurikuler olahraga. Analisis </w:t>
      </w:r>
      <w:r w:rsidRPr="00C322F8">
        <w:rPr>
          <w:rFonts w:eastAsia="MS Mincho"/>
          <w:szCs w:val="24"/>
          <w:lang w:val="en-ID" w:eastAsia="en-US"/>
        </w:rPr>
        <w:lastRenderedPageBreak/>
        <w:t>kuantitatif dilakukan untuk menguji hipotesis bahwa terdapat perbedaan signifikan skor TGMD-2 antara kedua kelompok, dengan prediksi bahwa kelompok aktif akan memiliki skor lebih tinggi.</w:t>
      </w:r>
    </w:p>
    <w:p w14:paraId="630C76F9" w14:textId="68B4894A" w:rsidR="00C322F8" w:rsidRPr="00C322F8"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Penelitian ini memiliki relevansi praktis yang tinggi bagi sekolah, guru, dan orang tua dalam upaya memfasilitasi aktivitas fisik anak</w:t>
      </w:r>
      <w:r w:rsidR="008101E9">
        <w:rPr>
          <w:rFonts w:eastAsia="MS Mincho"/>
          <w:szCs w:val="24"/>
          <w:lang w:val="en-ID" w:eastAsia="en-US"/>
        </w:rPr>
        <w:t xml:space="preserve"> </w:t>
      </w:r>
      <w:r w:rsidR="008101E9">
        <w:rPr>
          <w:rFonts w:eastAsia="MS Mincho"/>
          <w:szCs w:val="24"/>
          <w:lang w:val="en-ID" w:eastAsia="en-US"/>
        </w:rPr>
        <w:fldChar w:fldCharType="begin" w:fldLock="1"/>
      </w:r>
      <w:r w:rsidR="00D755B5">
        <w:rPr>
          <w:rFonts w:eastAsia="MS Mincho"/>
          <w:szCs w:val="24"/>
          <w:lang w:val="en-ID" w:eastAsia="en-US"/>
        </w:rPr>
        <w:instrText>ADDIN CSL_CITATION {"citationItems":[{"id":"ITEM-1","itemData":{"DOI":"10.3390/children9060881","ISSN":"22279067","abstract":"This study aimed to examine the impact of a TGMD-3 rater training program on pre-service adapted physical education (APE) teachers’ ability to score fundamental motor skills for children with developmental disabilities (DD). The training program consisted of a description of the TGMD-3 instrument and DD, as well as content focused on skill performance and correct scoring through systematic analysis of 13 FMS via the instrument. Three experts established the standard score through the TGMD-3 performance evaluation of a child with DD. Thirty-nine pre-service APE teachers in the experimental group and 30 pre-service teachers in the control group completed the pre-and post-test process in this study. There were significant impacts on the pre-service teachers’ ability to score the locomotor, ball skill subtests, and total skill scores (p &lt; 0.05) compared to the control group. Specifically, the results of the three locomotor skills (running, horizontal jump, &amp; slide) and three ball skills (two-hand strike, dribble, &amp; kick) significantly improved in scoring accuracy. The results of this study can evidence that a TGMD-3 rater training program for pre-service APE teachers enhances the scoring accuracy of FMS among children with DD.","author":[{"dropping-particle":"","family":"Kwon","given":"Hyunjin","non-dropping-particle":"","parse-names":false,"suffix":""},{"dropping-particle":"","family":"Maeng","given":"Hyokju","non-dropping-particle":"","parse-names":false,"suffix":""}],"container-title":"Children","id":"ITEM-1","issue":"6","issued":{"date-parts":[["2022"]]},"page":"1-13","title":"The Impact of a Rater Training Program on the TGMD-3 Scoring Accuracy of Pre-Service Adapted Physical Education Teachers","type":"article-journal","volume":"9"},"uris":["http://www.mendeley.com/documents/?uuid=313d4053-b625-4068-be24-e53c8c2bbf5f"]}],"mendeley":{"formattedCitation":"(Kwon &amp; Maeng, 2022)","plainTextFormattedCitation":"(Kwon &amp; Maeng, 2022)","previouslyFormattedCitation":"(Kwon &amp; Maeng, 2022)"},"properties":{"noteIndex":0},"schema":"https://github.com/citation-style-language/schema/raw/master/csl-citation.json"}</w:instrText>
      </w:r>
      <w:r w:rsidR="008101E9">
        <w:rPr>
          <w:rFonts w:eastAsia="MS Mincho"/>
          <w:szCs w:val="24"/>
          <w:lang w:val="en-ID" w:eastAsia="en-US"/>
        </w:rPr>
        <w:fldChar w:fldCharType="separate"/>
      </w:r>
      <w:r w:rsidR="008101E9" w:rsidRPr="008101E9">
        <w:rPr>
          <w:rFonts w:eastAsia="MS Mincho"/>
          <w:noProof/>
          <w:szCs w:val="24"/>
          <w:lang w:val="en-ID" w:eastAsia="en-US"/>
        </w:rPr>
        <w:t>(Kwon &amp; Maeng, 2022)</w:t>
      </w:r>
      <w:r w:rsidR="008101E9">
        <w:rPr>
          <w:rFonts w:eastAsia="MS Mincho"/>
          <w:szCs w:val="24"/>
          <w:lang w:val="en-ID" w:eastAsia="en-US"/>
        </w:rPr>
        <w:fldChar w:fldCharType="end"/>
      </w:r>
      <w:r w:rsidRPr="00C322F8">
        <w:rPr>
          <w:rFonts w:eastAsia="MS Mincho"/>
          <w:szCs w:val="24"/>
          <w:lang w:val="en-ID" w:eastAsia="en-US"/>
        </w:rPr>
        <w:t xml:space="preserve">. Meskipun demikian, sebagai studi kuantitatif lintas-seksi </w:t>
      </w:r>
      <w:r w:rsidRPr="00C322F8">
        <w:rPr>
          <w:rFonts w:eastAsia="MS Mincho"/>
          <w:i/>
          <w:iCs/>
          <w:szCs w:val="24"/>
          <w:lang w:val="en-ID" w:eastAsia="en-US"/>
        </w:rPr>
        <w:t>(cross-sectional)</w:t>
      </w:r>
      <w:r w:rsidRPr="00C322F8">
        <w:rPr>
          <w:rFonts w:eastAsia="MS Mincho"/>
          <w:szCs w:val="24"/>
          <w:lang w:val="en-ID" w:eastAsia="en-US"/>
        </w:rPr>
        <w:t>, penelitian ini tidak dapat menetapkan hubungan kausal. Selain itu, variabel seperti jenis kelamin, status gizi, dan lingkungan belum dikendalikan secara menyeluruh. Oleh karena itu, hasil penelitian perlu diinterpretasikan dengan kehati-hatian</w:t>
      </w:r>
      <w:r w:rsidR="00D755B5">
        <w:rPr>
          <w:rFonts w:eastAsia="MS Mincho"/>
          <w:szCs w:val="24"/>
          <w:lang w:val="en-ID" w:eastAsia="en-US"/>
        </w:rPr>
        <w:t xml:space="preserve"> </w:t>
      </w:r>
      <w:r w:rsidR="00D755B5">
        <w:rPr>
          <w:rFonts w:eastAsia="MS Mincho"/>
          <w:szCs w:val="24"/>
          <w:lang w:val="en-ID" w:eastAsia="en-US"/>
        </w:rPr>
        <w:fldChar w:fldCharType="begin" w:fldLock="1"/>
      </w:r>
      <w:r w:rsidR="00D755B5">
        <w:rPr>
          <w:rFonts w:eastAsia="MS Mincho"/>
          <w:szCs w:val="24"/>
          <w:lang w:val="en-ID" w:eastAsia="en-US"/>
        </w:rPr>
        <w:instrText>ADDIN CSL_CITATION {"citationItems":[{"id":"ITEM-1","itemData":{"DOI":"10.1186/s12889-023-15760-2","ISBN":"1288902315760","ISSN":"14712458","PMID":"37147650","abstract":"Background: University students majoring in different disciplines are believed to have different personality traits, courses exposure, and future roles, which may further affect their health behaviors and health status. The purpose of this study was to investigate the differences in health-promoting lifestyle (HPL) and its predictors among health-related and non-health-related students. Methods: The research participants were university students in the main island of Taiwan, and a two-stage sampling approach was adopted to obtain the samples from November 2020 to March 2021. First, 37 universities were randomly selected based on the ratio of public and private universities in each region of Taiwan. Then, based on the ratio of health-related and non-health-related majors of selected university, 25–30 students were randomly drawn from each university according to the student ID number to complete self-administered questionnaires, which included items for personal factors, perceived health status (PHS), health conception (HC), and health-promoting lifestyle profile (HPLP). A total of 1062 valid questionnaires were recovered, including 458 from health-related students and 604 from non-health-related students. Chi-squared test, independent samples t-test, one-way ANOVA, Pearson product-moment correlation analysis, and multiple regression analysis were performed. Results: The results showed that gender (p &lt; 0.001), residential status (p = 0.023), body mass index (p = 0.016), and daily sleep duration (p = 0.034) of the students majoring in different disciplines were different. Health-related students having better HC (p = 0.002) and HPLP (p = 0.040) than non-health-related students. In addition, for both majors, females, low PHS scores, and low scores for functional/role, clinical, and eudaimonistic dimensions of HC were important indicators of a relatively negative HPLP, while health-related students who exercised 75 min or less per week and non-health-related students with a monthly disposable income of 15,000 TWD or less or who dined out 15 times or more per week also required attention in the promotion of HPL (health-related majors: adjusted R2 = 0.481, p &lt; 0.001; non-health-related majors: adjusted R2 = 0.443, p &lt; 0.001). Conclusions: Students majoring in each discipline who had poor HPLP which is mentioned above should be prioritized in the provision of appropriate exercise or nutritional support programs on campus to promote their awareness and ability …","author":[{"dropping-particle":"","family":"Chao","given":"Dan Ping","non-dropping-particle":"","parse-names":false,"suffix":""}],"container-title":"BMC Public Health","id":"ITEM-1","issue":"1","issued":{"date-parts":[["2023"]]},"page":"1-14","publisher":"BioMed Central","title":"Health-promoting lifestyle and its predictors among health-related and non-health-related university students in Taiwan: a cross-sectional quantitative study","type":"article-journal","volume":"23"},"uris":["http://www.mendeley.com/documents/?uuid=35c2912f-8145-4002-89c9-f0c5d3024ebb"]}],"mendeley":{"formattedCitation":"(Chao, 2023)","plainTextFormattedCitation":"(Chao, 2023)","previouslyFormattedCitation":"(Chao, 2023)"},"properties":{"noteIndex":0},"schema":"https://github.com/citation-style-language/schema/raw/master/csl-citation.json"}</w:instrText>
      </w:r>
      <w:r w:rsidR="00D755B5">
        <w:rPr>
          <w:rFonts w:eastAsia="MS Mincho"/>
          <w:szCs w:val="24"/>
          <w:lang w:val="en-ID" w:eastAsia="en-US"/>
        </w:rPr>
        <w:fldChar w:fldCharType="separate"/>
      </w:r>
      <w:r w:rsidR="00D755B5" w:rsidRPr="00D755B5">
        <w:rPr>
          <w:rFonts w:eastAsia="MS Mincho"/>
          <w:noProof/>
          <w:szCs w:val="24"/>
          <w:lang w:val="en-ID" w:eastAsia="en-US"/>
        </w:rPr>
        <w:t>(Chao, 2023)</w:t>
      </w:r>
      <w:r w:rsidR="00D755B5">
        <w:rPr>
          <w:rFonts w:eastAsia="MS Mincho"/>
          <w:szCs w:val="24"/>
          <w:lang w:val="en-ID" w:eastAsia="en-US"/>
        </w:rPr>
        <w:fldChar w:fldCharType="end"/>
      </w:r>
      <w:r w:rsidRPr="00C322F8">
        <w:rPr>
          <w:rFonts w:eastAsia="MS Mincho"/>
          <w:szCs w:val="24"/>
          <w:lang w:val="en-ID" w:eastAsia="en-US"/>
        </w:rPr>
        <w:t>.</w:t>
      </w:r>
    </w:p>
    <w:p w14:paraId="4B7BCCBC" w14:textId="38371C03" w:rsidR="00501EBD" w:rsidRPr="00501EBD" w:rsidRDefault="00C322F8" w:rsidP="00C322F8">
      <w:pPr>
        <w:spacing w:before="60" w:after="120" w:line="240" w:lineRule="auto"/>
        <w:ind w:right="22" w:firstLine="567"/>
        <w:rPr>
          <w:rFonts w:eastAsia="MS Mincho"/>
          <w:szCs w:val="24"/>
          <w:lang w:val="en-ID" w:eastAsia="en-US"/>
        </w:rPr>
      </w:pPr>
      <w:r w:rsidRPr="00C322F8">
        <w:rPr>
          <w:rFonts w:eastAsia="MS Mincho"/>
          <w:szCs w:val="24"/>
          <w:lang w:val="en-ID" w:eastAsia="en-US"/>
        </w:rPr>
        <w:t>Secara keseluruhan, penelitian ini diharapkan memberikan bukti empiris mengenai pentingnya ekstrakurikuler olahraga dalam mendukung perkembangan motorik kasar anak usia sekolah dasar, sekaligus menjadi dasar bagi kebijakan dan praktik pendidikan jasmani di sekolah</w:t>
      </w:r>
      <w:r w:rsidR="00D755B5">
        <w:rPr>
          <w:rFonts w:eastAsia="MS Mincho"/>
          <w:szCs w:val="24"/>
          <w:lang w:val="en-ID" w:eastAsia="en-US"/>
        </w:rPr>
        <w:t xml:space="preserve"> </w:t>
      </w:r>
      <w:r w:rsidR="00D755B5">
        <w:rPr>
          <w:rFonts w:eastAsia="MS Mincho"/>
          <w:szCs w:val="24"/>
          <w:lang w:val="en-ID" w:eastAsia="en-US"/>
        </w:rPr>
        <w:fldChar w:fldCharType="begin" w:fldLock="1"/>
      </w:r>
      <w:r w:rsidR="006159BD">
        <w:rPr>
          <w:rFonts w:eastAsia="MS Mincho"/>
          <w:szCs w:val="24"/>
          <w:lang w:val="en-ID" w:eastAsia="en-US"/>
        </w:rPr>
        <w:instrText>ADDIN CSL_CITATION {"citationItems":[{"id":"ITEM-1","itemData":{"DOI":"10.1007/s11482-025-10497-z","ISBN":"1148202510497","ISSN":"18712576","abstract":"As extracurricular activities (EAs) become increasingly common among young children, understanding their associations with developmental outcomes are critical for promoting well-being and reducing inequalities in early childhood. However, research on this topic remains limited, and findings are mixed. This study examines how EA participation is related to six early developmental domains, including social-emotional, communication, gross motor, fine motor, problem-solving, and personal-social skills, and whether these associations vary for children with different developmental levels. We employ the inverse probability weighting to address differential selection into EAs and quantile regressions to explore distributional patterns. Drawing on data from 8,112 preschoolers in Hangzhou, China, our findings indicate that EA participation is positively associated with children’s developmental outcomes. Moreover, the strength of these associations is greater for children positioned at the lower end of the developmental spectrum. These findings highlight the potential of EAs as a compensatory mechanism for reducing developmental disparities and improving the quality of life for disadvantaged children. Policy interventions aimed at improving equitable participation and fostering inclusive early childhood development were discussed at the end.","author":[{"dropping-particle":"","family":"Xu","given":"Can","non-dropping-particle":"","parse-names":false,"suffix":""},{"dropping-particle":"","family":"Ma","given":"Gaoming","non-dropping-particle":"","parse-names":false,"suffix":""},{"dropping-particle":"","family":"Yuan","given":"Jing","non-dropping-particle":"","parse-names":false,"suffix":""}],"container-title":"Applied Research in Quality of Life","id":"ITEM-1","issued":{"date-parts":[["2025"]]},"title":"From Play To Progress: The Impact of Extracurricular Activities on Early Childhood Development and Inequality","type":"article-journal"},"uris":["http://www.mendeley.com/documents/?uuid=8def4d40-4cc3-4bff-aef4-7cda0d2c1960"]}],"mendeley":{"formattedCitation":"(Xu et al., 2025)","plainTextFormattedCitation":"(Xu et al., 2025)","previouslyFormattedCitation":"(Xu et al., 2025)"},"properties":{"noteIndex":0},"schema":"https://github.com/citation-style-language/schema/raw/master/csl-citation.json"}</w:instrText>
      </w:r>
      <w:r w:rsidR="00D755B5">
        <w:rPr>
          <w:rFonts w:eastAsia="MS Mincho"/>
          <w:szCs w:val="24"/>
          <w:lang w:val="en-ID" w:eastAsia="en-US"/>
        </w:rPr>
        <w:fldChar w:fldCharType="separate"/>
      </w:r>
      <w:r w:rsidR="00D755B5" w:rsidRPr="00D755B5">
        <w:rPr>
          <w:rFonts w:eastAsia="MS Mincho"/>
          <w:noProof/>
          <w:szCs w:val="24"/>
          <w:lang w:val="en-ID" w:eastAsia="en-US"/>
        </w:rPr>
        <w:t>(Xu et al., 2025)</w:t>
      </w:r>
      <w:r w:rsidR="00D755B5">
        <w:rPr>
          <w:rFonts w:eastAsia="MS Mincho"/>
          <w:szCs w:val="24"/>
          <w:lang w:val="en-ID" w:eastAsia="en-US"/>
        </w:rPr>
        <w:fldChar w:fldCharType="end"/>
      </w:r>
      <w:r w:rsidR="00501EBD" w:rsidRPr="00501EBD">
        <w:rPr>
          <w:rFonts w:eastAsia="MS Mincho"/>
          <w:szCs w:val="24"/>
          <w:lang w:val="en-ID" w:eastAsia="en-US"/>
        </w:rPr>
        <w:t>.</w:t>
      </w:r>
    </w:p>
    <w:p w14:paraId="1152EDAA" w14:textId="7820CA4F" w:rsidR="00D372EF" w:rsidRPr="00D372EF" w:rsidRDefault="00D372EF" w:rsidP="00D372EF">
      <w:pPr>
        <w:spacing w:before="60" w:after="120" w:line="240" w:lineRule="auto"/>
        <w:ind w:right="22" w:firstLine="567"/>
        <w:rPr>
          <w:rFonts w:eastAsia="MS Mincho"/>
          <w:szCs w:val="24"/>
          <w:lang w:val="en-ID" w:eastAsia="en-US"/>
        </w:rPr>
      </w:pPr>
    </w:p>
    <w:p w14:paraId="1940ACD4" w14:textId="06BF0311" w:rsidR="00501EBD" w:rsidRPr="00501EBD" w:rsidRDefault="00E949D6" w:rsidP="00501EBD">
      <w:pPr>
        <w:spacing w:before="60" w:after="120" w:line="240" w:lineRule="auto"/>
        <w:ind w:right="22"/>
        <w:rPr>
          <w:b/>
          <w:noProof/>
          <w:szCs w:val="24"/>
          <w:lang w:val="id-ID"/>
        </w:rPr>
      </w:pPr>
      <w:r w:rsidRPr="00FC2828">
        <w:rPr>
          <w:b/>
          <w:noProof/>
          <w:szCs w:val="24"/>
          <w:lang w:val="id-ID"/>
        </w:rPr>
        <w:t>METODE</w:t>
      </w:r>
      <w:r w:rsidR="00C8164B" w:rsidRPr="00FC2828">
        <w:rPr>
          <w:b/>
          <w:noProof/>
          <w:szCs w:val="24"/>
          <w:lang w:val="id-ID"/>
        </w:rPr>
        <w:t xml:space="preserve"> </w:t>
      </w:r>
    </w:p>
    <w:p w14:paraId="30007D25" w14:textId="77777777" w:rsidR="00501EBD" w:rsidRPr="00501EBD" w:rsidRDefault="00501EBD" w:rsidP="00501EBD">
      <w:pPr>
        <w:spacing w:before="0" w:line="360" w:lineRule="auto"/>
        <w:ind w:firstLine="360"/>
        <w:rPr>
          <w:rFonts w:eastAsia="MS Mincho"/>
          <w:szCs w:val="24"/>
          <w:lang w:val="en-ID" w:eastAsia="en-US"/>
        </w:rPr>
      </w:pPr>
      <w:r w:rsidRPr="00501EBD">
        <w:rPr>
          <w:rFonts w:eastAsia="MS Mincho"/>
          <w:szCs w:val="24"/>
          <w:lang w:val="en-ID" w:eastAsia="en-US"/>
        </w:rPr>
        <w:t xml:space="preserve">Jenis penelitian yang digunakan adalah penelitian kuantitatif dengan desain </w:t>
      </w:r>
      <w:r w:rsidRPr="00501EBD">
        <w:rPr>
          <w:rFonts w:eastAsia="MS Mincho"/>
          <w:b/>
          <w:bCs/>
          <w:szCs w:val="24"/>
          <w:lang w:val="en-ID" w:eastAsia="en-US"/>
        </w:rPr>
        <w:t>komparatif antar-grup</w:t>
      </w:r>
      <w:r w:rsidRPr="00501EBD">
        <w:rPr>
          <w:rFonts w:eastAsia="MS Mincho"/>
          <w:szCs w:val="24"/>
          <w:lang w:val="en-ID" w:eastAsia="en-US"/>
        </w:rPr>
        <w:t xml:space="preserve"> </w:t>
      </w:r>
      <w:r w:rsidRPr="00BD732A">
        <w:rPr>
          <w:rFonts w:eastAsia="MS Mincho"/>
          <w:i/>
          <w:iCs/>
          <w:szCs w:val="24"/>
          <w:lang w:val="en-ID" w:eastAsia="en-US"/>
        </w:rPr>
        <w:t>(comparative study)</w:t>
      </w:r>
      <w:r w:rsidRPr="00501EBD">
        <w:rPr>
          <w:rFonts w:eastAsia="MS Mincho"/>
          <w:szCs w:val="24"/>
          <w:lang w:val="en-ID" w:eastAsia="en-US"/>
        </w:rPr>
        <w:t xml:space="preserve"> berupa penelitian </w:t>
      </w:r>
      <w:r w:rsidRPr="00BD732A">
        <w:rPr>
          <w:rFonts w:eastAsia="MS Mincho"/>
          <w:i/>
          <w:iCs/>
          <w:szCs w:val="24"/>
          <w:lang w:val="en-ID" w:eastAsia="en-US"/>
        </w:rPr>
        <w:t>eksposisi-cross-sectional</w:t>
      </w:r>
      <w:r w:rsidRPr="00501EBD">
        <w:rPr>
          <w:rFonts w:eastAsia="MS Mincho"/>
          <w:szCs w:val="24"/>
          <w:lang w:val="en-ID" w:eastAsia="en-US"/>
        </w:rPr>
        <w:t>, yang membandingkan dua kelompok siswa yaitu: kelompok yang aktif mengikuti ekstrakurikuler olahraga dan kelompok yang tidak mengikuti ekstrakurikuler olahraga di SDI Al-Chusnaini. Penelitian ini bukan eksperimen murni karena tidak ada intervensi yang diacak.</w:t>
      </w:r>
    </w:p>
    <w:p w14:paraId="1DCDD1F4" w14:textId="68E5554D" w:rsidR="00501EBD" w:rsidRPr="00501EBD" w:rsidRDefault="00501EBD" w:rsidP="00501EBD">
      <w:pPr>
        <w:spacing w:before="0" w:line="360" w:lineRule="auto"/>
        <w:ind w:firstLine="360"/>
        <w:rPr>
          <w:rFonts w:eastAsia="MS Mincho"/>
          <w:szCs w:val="24"/>
          <w:lang w:val="en-ID" w:eastAsia="en-US"/>
        </w:rPr>
      </w:pPr>
      <w:r w:rsidRPr="00501EBD">
        <w:rPr>
          <w:rFonts w:eastAsia="MS Mincho"/>
          <w:szCs w:val="24"/>
          <w:lang w:val="en-ID" w:eastAsia="en-US"/>
        </w:rPr>
        <w:t xml:space="preserve">Populasi penelitian terdiri atas seluruh siswa kelas IV, V, dan VI di SDI Al-Chusnaini, dengan rentang usia sekitar 9 hingga 12 tahun. Dari populasi tersebut, diambil </w:t>
      </w:r>
      <w:r w:rsidRPr="00501EBD">
        <w:rPr>
          <w:rFonts w:eastAsia="MS Mincho"/>
          <w:b/>
          <w:bCs/>
          <w:szCs w:val="24"/>
          <w:lang w:val="en-ID" w:eastAsia="en-US"/>
        </w:rPr>
        <w:t>sampel sebanyak 123 siswa dan siswi</w:t>
      </w:r>
      <w:r w:rsidRPr="00501EBD">
        <w:rPr>
          <w:rFonts w:eastAsia="MS Mincho"/>
          <w:szCs w:val="24"/>
          <w:lang w:val="en-ID" w:eastAsia="en-US"/>
        </w:rPr>
        <w:t xml:space="preserve"> melalui teknik sampling </w:t>
      </w:r>
      <w:r w:rsidRPr="00BD732A">
        <w:rPr>
          <w:rFonts w:eastAsia="MS Mincho"/>
          <w:b/>
          <w:bCs/>
          <w:i/>
          <w:iCs/>
          <w:szCs w:val="24"/>
          <w:lang w:val="en-ID" w:eastAsia="en-US"/>
        </w:rPr>
        <w:t>purposive sampling</w:t>
      </w:r>
      <w:r w:rsidRPr="00501EBD">
        <w:rPr>
          <w:rFonts w:eastAsia="MS Mincho"/>
          <w:szCs w:val="24"/>
          <w:lang w:val="en-ID" w:eastAsia="en-US"/>
        </w:rPr>
        <w:t xml:space="preserve"> atau </w:t>
      </w:r>
      <w:r w:rsidRPr="00501EBD">
        <w:rPr>
          <w:rFonts w:eastAsia="MS Mincho"/>
          <w:b/>
          <w:bCs/>
          <w:szCs w:val="24"/>
          <w:lang w:val="en-ID" w:eastAsia="en-US"/>
        </w:rPr>
        <w:t>total sampling</w:t>
      </w:r>
      <w:r w:rsidRPr="00501EBD">
        <w:rPr>
          <w:rFonts w:eastAsia="MS Mincho"/>
          <w:szCs w:val="24"/>
          <w:lang w:val="en-ID" w:eastAsia="en-US"/>
        </w:rPr>
        <w:t xml:space="preserve"> tergantung jumlah keseluruhan siswa, dengan ketentuan bahwa siswa telah mengikuti minimal satu semester dalam ekstrakurikuler olahraga (untuk kelompok aktif) atau tidak pernah mengikuti ekstrakurikuler olahraga selama minimal satu semester (untuk kelompok tidak aktif).</w:t>
      </w:r>
    </w:p>
    <w:p w14:paraId="7BFC4B7D" w14:textId="0255762E" w:rsidR="00501EBD" w:rsidRPr="00501EBD" w:rsidRDefault="00501EBD" w:rsidP="00501EBD">
      <w:pPr>
        <w:spacing w:before="0" w:line="360" w:lineRule="auto"/>
        <w:ind w:firstLine="360"/>
        <w:rPr>
          <w:rFonts w:eastAsia="MS Mincho"/>
          <w:szCs w:val="24"/>
          <w:lang w:val="en-ID" w:eastAsia="en-US"/>
        </w:rPr>
      </w:pPr>
      <w:r w:rsidRPr="00501EBD">
        <w:rPr>
          <w:rFonts w:eastAsia="MS Mincho"/>
          <w:szCs w:val="24"/>
          <w:lang w:val="en-ID" w:eastAsia="en-US"/>
        </w:rPr>
        <w:t>Instrumen utama yang digunakan untuk mengukur keterampilan motorik kasar adalah TGMD-2. Instrumen ini terdiri dari dua sub</w:t>
      </w:r>
      <w:r w:rsidRPr="00501EBD">
        <w:rPr>
          <w:rFonts w:eastAsia="MS Mincho"/>
          <w:szCs w:val="24"/>
          <w:lang w:val="en-ID" w:eastAsia="en-US"/>
        </w:rPr>
        <w:softHyphen/>
        <w:t>skor: lokomotor dan kontrol objek, total memiliki 12 item keterampilan (6 lokomotor dan 6 kontrol objek) yang masing-masing dinilai berdasarkan kriteria performansi (3–5 kriteria per item) seperti yang diuraikan dalam manual TGMD-2</w:t>
      </w:r>
      <w:r>
        <w:rPr>
          <w:rFonts w:eastAsia="MS Mincho"/>
          <w:szCs w:val="24"/>
          <w:lang w:val="en-ID" w:eastAsia="en-US"/>
        </w:rPr>
        <w:t xml:space="preserve"> </w:t>
      </w:r>
      <w:r>
        <w:rPr>
          <w:rFonts w:eastAsia="MS Mincho"/>
          <w:szCs w:val="24"/>
          <w:lang w:val="en-ID" w:eastAsia="en-US"/>
        </w:rPr>
        <w:fldChar w:fldCharType="begin" w:fldLock="1"/>
      </w:r>
      <w:r w:rsidR="00736009">
        <w:rPr>
          <w:rFonts w:eastAsia="MS Mincho"/>
          <w:szCs w:val="24"/>
          <w:lang w:val="en-ID" w:eastAsia="en-US"/>
        </w:rPr>
        <w:instrText>ADDIN CSL_CITATION {"citationItems":[{"id":"ITEM-1","itemData":{"DOI":"10.21608/eijssa.2021.56144.1059","author":[{"dropping-particle":"","family":"abd el shakour","given":"mohamed","non-dropping-particle":"","parse-names":false,"suffix":""}],"container-title":"International Journal of Sports Science and Arts","id":"ITEM-1","issue":"017","issued":{"date-parts":[["2021"]]},"page":"111-130","title":"The effect of geographical regions (urban and rural areas) on movement competence of Egyptian schoolchildren from 6-7 years","type":"article-journal","volume":"017"},"uris":["http://www.mendeley.com/documents/?uuid=9839330d-6b9c-4f7b-b07a-d2bbc3cc827a","http://www.mendeley.com/documents/?uuid=196a9c9b-f54f-4aff-aa62-3e2dcf27cd62"]}],"mendeley":{"formattedCitation":"(abd el shakour, 2021)","plainTextFormattedCitation":"(abd el shakour, 2021)","previouslyFormattedCitation":"(abd el shakour, 2021)"},"properties":{"noteIndex":0},"schema":"https://github.com/citation-style-language/schema/raw/master/csl-citation.json"}</w:instrText>
      </w:r>
      <w:r>
        <w:rPr>
          <w:rFonts w:eastAsia="MS Mincho"/>
          <w:szCs w:val="24"/>
          <w:lang w:val="en-ID" w:eastAsia="en-US"/>
        </w:rPr>
        <w:fldChar w:fldCharType="separate"/>
      </w:r>
      <w:r w:rsidRPr="00501EBD">
        <w:rPr>
          <w:rFonts w:eastAsia="MS Mincho"/>
          <w:noProof/>
          <w:szCs w:val="24"/>
          <w:lang w:val="en-ID" w:eastAsia="en-US"/>
        </w:rPr>
        <w:t>(abd el shakour, 2021)</w:t>
      </w:r>
      <w:r>
        <w:rPr>
          <w:rFonts w:eastAsia="MS Mincho"/>
          <w:szCs w:val="24"/>
          <w:lang w:val="en-ID" w:eastAsia="en-US"/>
        </w:rPr>
        <w:fldChar w:fldCharType="end"/>
      </w:r>
      <w:r>
        <w:rPr>
          <w:rFonts w:eastAsia="MS Mincho"/>
          <w:szCs w:val="24"/>
          <w:lang w:val="en-ID" w:eastAsia="en-US"/>
        </w:rPr>
        <w:t xml:space="preserve">. </w:t>
      </w:r>
      <w:r w:rsidRPr="00501EBD">
        <w:rPr>
          <w:rFonts w:eastAsia="MS Mincho"/>
          <w:szCs w:val="24"/>
          <w:lang w:val="en-ID" w:eastAsia="en-US"/>
        </w:rPr>
        <w:t>Prosedur pelaksanaan: siswa melakukan masing-masing keterampilan dua kali, setelah demonstrasi dan instruksi oleh penguji.</w:t>
      </w:r>
    </w:p>
    <w:p w14:paraId="18E8F00D" w14:textId="27520150" w:rsidR="00501EBD" w:rsidRPr="00501EBD" w:rsidRDefault="00501EBD" w:rsidP="00501EBD">
      <w:pPr>
        <w:spacing w:before="0" w:line="360" w:lineRule="auto"/>
        <w:ind w:firstLine="360"/>
        <w:rPr>
          <w:rFonts w:eastAsia="MS Mincho"/>
          <w:szCs w:val="24"/>
          <w:lang w:val="en-ID" w:eastAsia="en-US"/>
        </w:rPr>
      </w:pPr>
      <w:r w:rsidRPr="00501EBD">
        <w:rPr>
          <w:rFonts w:eastAsia="MS Mincho"/>
          <w:szCs w:val="24"/>
          <w:lang w:val="en-ID" w:eastAsia="en-US"/>
        </w:rPr>
        <w:t xml:space="preserve">Sebelum pelaksanaan, dilakukan uji reliabilitas antar-penguji </w:t>
      </w:r>
      <w:r w:rsidRPr="00BD732A">
        <w:rPr>
          <w:rFonts w:eastAsia="MS Mincho"/>
          <w:i/>
          <w:iCs/>
          <w:szCs w:val="24"/>
          <w:lang w:val="en-ID" w:eastAsia="en-US"/>
        </w:rPr>
        <w:t>(inter-rater reliability)</w:t>
      </w:r>
      <w:r w:rsidRPr="00501EBD">
        <w:rPr>
          <w:rFonts w:eastAsia="MS Mincho"/>
          <w:szCs w:val="24"/>
          <w:lang w:val="en-ID" w:eastAsia="en-US"/>
        </w:rPr>
        <w:t xml:space="preserve"> dan uji keabsahan isi </w:t>
      </w:r>
      <w:r w:rsidRPr="00BD732A">
        <w:rPr>
          <w:rFonts w:eastAsia="MS Mincho"/>
          <w:i/>
          <w:iCs/>
          <w:szCs w:val="24"/>
          <w:lang w:val="en-ID" w:eastAsia="en-US"/>
        </w:rPr>
        <w:t>(content validity)</w:t>
      </w:r>
      <w:r w:rsidRPr="00501EBD">
        <w:rPr>
          <w:rFonts w:eastAsia="MS Mincho"/>
          <w:szCs w:val="24"/>
          <w:lang w:val="en-ID" w:eastAsia="en-US"/>
        </w:rPr>
        <w:t xml:space="preserve"> instrumen TGMD-2 di konteks sekolah dasar Indonesia, dengan melibatkan dua penguji yang telah diberi pelatihan dan menggunakan video atau rekaman sebagai rujukan untuk scoring agar konsistensi tercapai. Skor-skor mentah kemudian </w:t>
      </w:r>
      <w:r w:rsidRPr="00501EBD">
        <w:rPr>
          <w:rFonts w:eastAsia="MS Mincho"/>
          <w:szCs w:val="24"/>
          <w:lang w:val="en-ID" w:eastAsia="en-US"/>
        </w:rPr>
        <w:lastRenderedPageBreak/>
        <w:t xml:space="preserve">dikonversi ke skor standar atau </w:t>
      </w:r>
      <w:r w:rsidRPr="00BD732A">
        <w:rPr>
          <w:rFonts w:eastAsia="MS Mincho"/>
          <w:i/>
          <w:iCs/>
          <w:szCs w:val="24"/>
          <w:lang w:val="en-ID" w:eastAsia="en-US"/>
        </w:rPr>
        <w:t>Gross Motor Quotient (GMQ)</w:t>
      </w:r>
      <w:r w:rsidRPr="00501EBD">
        <w:rPr>
          <w:rFonts w:eastAsia="MS Mincho"/>
          <w:szCs w:val="24"/>
          <w:lang w:val="en-ID" w:eastAsia="en-US"/>
        </w:rPr>
        <w:t xml:space="preserve"> atau indeks yang setara sesuai panduan. </w:t>
      </w:r>
    </w:p>
    <w:p w14:paraId="3B4DDD18" w14:textId="12A1C137" w:rsidR="00501EBD" w:rsidRPr="00501EBD" w:rsidRDefault="00501EBD" w:rsidP="00501EBD">
      <w:pPr>
        <w:spacing w:before="0" w:line="360" w:lineRule="auto"/>
        <w:ind w:firstLine="360"/>
        <w:rPr>
          <w:rFonts w:eastAsia="MS Mincho"/>
          <w:szCs w:val="24"/>
          <w:lang w:val="en-ID" w:eastAsia="en-US"/>
        </w:rPr>
      </w:pPr>
      <w:r w:rsidRPr="00501EBD">
        <w:rPr>
          <w:rFonts w:eastAsia="MS Mincho"/>
          <w:szCs w:val="24"/>
          <w:lang w:val="en-ID" w:eastAsia="en-US"/>
        </w:rPr>
        <w:t>Pengelompokan kelompok siswa adalah sebagai berikut:</w:t>
      </w:r>
    </w:p>
    <w:p w14:paraId="3527A84D" w14:textId="77777777" w:rsidR="00501EBD" w:rsidRPr="00501EBD" w:rsidRDefault="00501EBD" w:rsidP="00501EBD">
      <w:pPr>
        <w:numPr>
          <w:ilvl w:val="0"/>
          <w:numId w:val="12"/>
        </w:numPr>
        <w:spacing w:before="0" w:line="360" w:lineRule="auto"/>
        <w:rPr>
          <w:rFonts w:eastAsia="MS Mincho"/>
          <w:szCs w:val="24"/>
          <w:lang w:val="en-ID" w:eastAsia="en-US"/>
        </w:rPr>
      </w:pPr>
      <w:r w:rsidRPr="00501EBD">
        <w:rPr>
          <w:rFonts w:eastAsia="MS Mincho"/>
          <w:szCs w:val="24"/>
          <w:lang w:val="en-ID" w:eastAsia="en-US"/>
        </w:rPr>
        <w:t>Kelompok A (aktif ekstrakurikuler olahraga): siswa yang secara rutin mengikuti kegiatan olahraga ekstrakurikuler di sekolah (misalnya bola, atletik, senam) minimal satu semester dan telah rutin latihan serta aktivitas permainan.</w:t>
      </w:r>
    </w:p>
    <w:p w14:paraId="4D706FDB" w14:textId="77777777" w:rsidR="00501EBD" w:rsidRPr="00501EBD" w:rsidRDefault="00501EBD" w:rsidP="00501EBD">
      <w:pPr>
        <w:numPr>
          <w:ilvl w:val="0"/>
          <w:numId w:val="12"/>
        </w:numPr>
        <w:spacing w:before="0" w:line="360" w:lineRule="auto"/>
        <w:rPr>
          <w:rFonts w:eastAsia="MS Mincho"/>
          <w:szCs w:val="24"/>
          <w:lang w:val="en-ID" w:eastAsia="en-US"/>
        </w:rPr>
      </w:pPr>
      <w:r w:rsidRPr="00501EBD">
        <w:rPr>
          <w:rFonts w:eastAsia="MS Mincho"/>
          <w:szCs w:val="24"/>
          <w:lang w:val="en-ID" w:eastAsia="en-US"/>
        </w:rPr>
        <w:t>Kelompok B (tidak aktif ekstrakurikuler): siswa yang tidak mengikuti kegiatan ekstrakurikuler olahraga atau hanya mengandalkan jam pendidikan jasmani reguler.</w:t>
      </w:r>
      <w:r w:rsidRPr="00501EBD">
        <w:rPr>
          <w:rFonts w:eastAsia="MS Mincho"/>
          <w:szCs w:val="24"/>
          <w:lang w:val="en-ID" w:eastAsia="en-US"/>
        </w:rPr>
        <w:br/>
        <w:t>Data demografis seperti usia, jenis kelamin, dan kelas dicatat untuk keperluan analisis.</w:t>
      </w:r>
    </w:p>
    <w:p w14:paraId="6D801540" w14:textId="627E1965" w:rsidR="00501EBD" w:rsidRPr="00501EBD" w:rsidRDefault="00501EBD" w:rsidP="00501EBD">
      <w:pPr>
        <w:spacing w:before="0" w:line="360" w:lineRule="auto"/>
        <w:ind w:firstLine="360"/>
        <w:rPr>
          <w:rFonts w:eastAsia="MS Mincho"/>
          <w:szCs w:val="24"/>
          <w:lang w:val="en-ID" w:eastAsia="en-US"/>
        </w:rPr>
      </w:pPr>
      <w:r w:rsidRPr="00501EBD">
        <w:rPr>
          <w:rFonts w:eastAsia="MS Mincho"/>
          <w:szCs w:val="24"/>
          <w:lang w:val="en-ID" w:eastAsia="en-US"/>
        </w:rPr>
        <w:t xml:space="preserve">Analisis data dilakukan dengan prosedur sebagai berikut: pertama, pengecekan normalitas data skor TGMD-2 (misalnya dengan uji </w:t>
      </w:r>
      <w:r w:rsidRPr="00BD732A">
        <w:rPr>
          <w:rFonts w:eastAsia="MS Mincho"/>
          <w:i/>
          <w:iCs/>
          <w:szCs w:val="24"/>
          <w:lang w:val="en-ID" w:eastAsia="en-US"/>
        </w:rPr>
        <w:t>Shapiro-Wilk</w:t>
      </w:r>
      <w:r w:rsidRPr="00501EBD">
        <w:rPr>
          <w:rFonts w:eastAsia="MS Mincho"/>
          <w:szCs w:val="24"/>
          <w:lang w:val="en-ID" w:eastAsia="en-US"/>
        </w:rPr>
        <w:t xml:space="preserve">). Kedua, uji homogenitas varians antar kelompok (misalnya </w:t>
      </w:r>
      <w:r w:rsidRPr="00BD732A">
        <w:rPr>
          <w:rFonts w:eastAsia="MS Mincho"/>
          <w:i/>
          <w:iCs/>
          <w:szCs w:val="24"/>
          <w:lang w:val="en-ID" w:eastAsia="en-US"/>
        </w:rPr>
        <w:t>Levene</w:t>
      </w:r>
      <w:r w:rsidRPr="00501EBD">
        <w:rPr>
          <w:rFonts w:eastAsia="MS Mincho"/>
          <w:szCs w:val="24"/>
          <w:lang w:val="en-ID" w:eastAsia="en-US"/>
        </w:rPr>
        <w:t>). Ketiga, pengujian perbedaan skor antar</w:t>
      </w:r>
      <w:r w:rsidRPr="00501EBD">
        <w:rPr>
          <w:rFonts w:eastAsia="MS Mincho"/>
          <w:szCs w:val="24"/>
          <w:lang w:val="en-ID" w:eastAsia="en-US"/>
        </w:rPr>
        <w:softHyphen/>
        <w:t xml:space="preserve">kelompok (aktif vs tidak aktif) menggunakan </w:t>
      </w:r>
      <w:r w:rsidRPr="00BD732A">
        <w:rPr>
          <w:rFonts w:eastAsia="MS Mincho"/>
          <w:i/>
          <w:iCs/>
          <w:szCs w:val="24"/>
          <w:lang w:val="en-ID" w:eastAsia="en-US"/>
        </w:rPr>
        <w:t>uji t-independent</w:t>
      </w:r>
      <w:r w:rsidRPr="00501EBD">
        <w:rPr>
          <w:rFonts w:eastAsia="MS Mincho"/>
          <w:szCs w:val="24"/>
          <w:lang w:val="en-ID" w:eastAsia="en-US"/>
        </w:rPr>
        <w:t xml:space="preserve"> bila asumsi terpenuhi atau uji non-parametrik jika asumsi tidak terpenuhi. Nilai signifikansi ditetapkan pada p &lt; 0,05. Keunggulan dimensi efek juga dapat dihitung (misalnya Cohen’s d).</w:t>
      </w:r>
    </w:p>
    <w:p w14:paraId="09EA0318" w14:textId="4C997084" w:rsidR="00501EBD" w:rsidRDefault="00501EBD" w:rsidP="00FF3094">
      <w:pPr>
        <w:spacing w:before="0" w:line="360" w:lineRule="auto"/>
        <w:ind w:firstLine="360"/>
        <w:rPr>
          <w:rFonts w:eastAsia="MS Mincho"/>
          <w:szCs w:val="24"/>
          <w:lang w:val="en-ID" w:eastAsia="en-US"/>
        </w:rPr>
      </w:pPr>
      <w:r w:rsidRPr="00501EBD">
        <w:rPr>
          <w:rFonts w:eastAsia="MS Mincho"/>
          <w:szCs w:val="24"/>
          <w:lang w:val="en-ID" w:eastAsia="en-US"/>
        </w:rPr>
        <w:t xml:space="preserve">Penelitian dilaksanakan dengan memperhatikan etika penelitian: persetujuan kepala sekolah dan guru di SDI Al-Chusnaini diperoleh, orang tua siswa diberi surat persetujuan </w:t>
      </w:r>
      <w:r w:rsidRPr="00BD732A">
        <w:rPr>
          <w:rFonts w:eastAsia="MS Mincho"/>
          <w:i/>
          <w:iCs/>
          <w:szCs w:val="24"/>
          <w:lang w:val="en-ID" w:eastAsia="en-US"/>
        </w:rPr>
        <w:t>(informed consent)</w:t>
      </w:r>
      <w:r w:rsidRPr="00501EBD">
        <w:rPr>
          <w:rFonts w:eastAsia="MS Mincho"/>
          <w:szCs w:val="24"/>
          <w:lang w:val="en-ID" w:eastAsia="en-US"/>
        </w:rPr>
        <w:t xml:space="preserve">, dan siswa diberi penjelasan singkat mengenai prosedur pengukuran. Identitas siswa dirahasiakan dan hasil hanya digunakan untuk penelitian. Pelaksanaan pengukuran dilakukan di lapangan sekolah pada jam yang tidak mengganggu proses belajar, dengan durasi pengukuran per siswa sekitar 20-30 menit sesuai manual TGMD-2 </w:t>
      </w:r>
      <w:r>
        <w:rPr>
          <w:rFonts w:eastAsia="MS Mincho"/>
          <w:szCs w:val="24"/>
          <w:lang w:val="en-ID" w:eastAsia="en-US"/>
        </w:rPr>
        <w:fldChar w:fldCharType="begin" w:fldLock="1"/>
      </w:r>
      <w:r w:rsidR="00736009">
        <w:rPr>
          <w:rFonts w:eastAsia="MS Mincho"/>
          <w:szCs w:val="24"/>
          <w:lang w:val="en-ID" w:eastAsia="en-US"/>
        </w:rPr>
        <w:instrText>ADDIN CSL_CITATION {"citationItems":[{"id":"ITEM-1","itemData":{"DOI":"10.3390/books978-3-03897-887-9","ISBN":"9783038978862","abstract":"I made the important decision to manage a Special Issue, because I believe it to be extremely important to focus on children’s and adolescents’ physiological and psychological development. I aimed to collect research that investigates the role of physical activity and sport on physical and mental well-being, with a particular focus on practical implications, innovation, tools, and technique. This Special Issue, “Health Promotion in Children and Adolescents through Sport and Physical Activities” addresses pediatric exercise science as a key scientific discipline able to help future generations live longer and better. It is already clear that sedentariness and a low level of muscular strength and power significantly affects cognitive functions and daily relations, but it is interesting to understand the key determinants and how we can help practitioners better manage these concerns in their patients. Authors were invited to submit letters, original research papers, case studies, meta-analyses, and systematic reviews.","author":[{"dropping-particle":"","family":"Morphology","given":"Functional","non-dropping-particle":"","parse-names":false,"suffix":""}],"container-title":"Health Promotion in Children and Adolescents through Sport and Physical Activities","id":"ITEM-1","issued":{"date-parts":[["2019"]]},"title":"Health Promotion in Children and Adolescents through Sport and Physical Activities","type":"book"},"uris":["http://www.mendeley.com/documents/?uuid=e9e77209-6afc-4cd9-a6b2-87b5c6822212","http://www.mendeley.com/documents/?uuid=290bda7f-dac1-4c40-a768-bee02884ec01"]}],"mendeley":{"formattedCitation":"(Morphology, 2019)","plainTextFormattedCitation":"(Morphology, 2019)","previouslyFormattedCitation":"(Morphology, 2019)"},"properties":{"noteIndex":0},"schema":"https://github.com/citation-style-language/schema/raw/master/csl-citation.json"}</w:instrText>
      </w:r>
      <w:r>
        <w:rPr>
          <w:rFonts w:eastAsia="MS Mincho"/>
          <w:szCs w:val="24"/>
          <w:lang w:val="en-ID" w:eastAsia="en-US"/>
        </w:rPr>
        <w:fldChar w:fldCharType="separate"/>
      </w:r>
      <w:r w:rsidRPr="00501EBD">
        <w:rPr>
          <w:rFonts w:eastAsia="MS Mincho"/>
          <w:noProof/>
          <w:szCs w:val="24"/>
          <w:lang w:val="en-ID" w:eastAsia="en-US"/>
        </w:rPr>
        <w:t>(Morphology, 2019)</w:t>
      </w:r>
      <w:r>
        <w:rPr>
          <w:rFonts w:eastAsia="MS Mincho"/>
          <w:szCs w:val="24"/>
          <w:lang w:val="en-ID" w:eastAsia="en-US"/>
        </w:rPr>
        <w:fldChar w:fldCharType="end"/>
      </w:r>
      <w:r>
        <w:rPr>
          <w:rFonts w:eastAsia="MS Mincho"/>
          <w:szCs w:val="24"/>
          <w:lang w:val="en-ID" w:eastAsia="en-US"/>
        </w:rPr>
        <w:t>.</w:t>
      </w:r>
    </w:p>
    <w:p w14:paraId="02E7D27A" w14:textId="77777777" w:rsidR="00FF3094" w:rsidRPr="00501EBD" w:rsidRDefault="00FF3094" w:rsidP="00FF3094">
      <w:pPr>
        <w:spacing w:before="0" w:line="360" w:lineRule="auto"/>
        <w:ind w:firstLine="360"/>
        <w:rPr>
          <w:rFonts w:eastAsia="MS Mincho"/>
          <w:szCs w:val="24"/>
          <w:lang w:val="en-ID" w:eastAsia="en-US"/>
        </w:rPr>
      </w:pPr>
    </w:p>
    <w:p w14:paraId="5FAC2E9A" w14:textId="208E585B" w:rsidR="00333160" w:rsidRPr="00FC2828" w:rsidRDefault="00E949D6" w:rsidP="00FC22F0">
      <w:pPr>
        <w:spacing w:before="60" w:after="120" w:line="240" w:lineRule="auto"/>
        <w:rPr>
          <w:b/>
          <w:noProof/>
          <w:szCs w:val="24"/>
          <w:lang w:val="id-ID"/>
        </w:rPr>
      </w:pPr>
      <w:r w:rsidRPr="00FC2828">
        <w:rPr>
          <w:b/>
          <w:noProof/>
          <w:szCs w:val="24"/>
          <w:lang w:val="id-ID"/>
        </w:rPr>
        <w:t>HASIL</w:t>
      </w:r>
      <w:r w:rsidR="00C8164B" w:rsidRPr="00FC2828">
        <w:rPr>
          <w:b/>
          <w:noProof/>
          <w:szCs w:val="24"/>
          <w:lang w:val="id-ID"/>
        </w:rPr>
        <w:t xml:space="preserve"> </w:t>
      </w:r>
    </w:p>
    <w:p w14:paraId="0C6BFE39" w14:textId="77777777" w:rsidR="00D669AA" w:rsidRPr="00D669AA" w:rsidRDefault="00D669AA" w:rsidP="00D669AA">
      <w:pPr>
        <w:spacing w:before="60" w:after="120" w:line="240" w:lineRule="auto"/>
        <w:ind w:left="360" w:right="22"/>
        <w:rPr>
          <w:rFonts w:eastAsia="MS Mincho"/>
          <w:b/>
          <w:bCs/>
          <w:szCs w:val="24"/>
          <w:lang w:val="en-ID" w:eastAsia="en-US"/>
        </w:rPr>
      </w:pPr>
      <w:r w:rsidRPr="00D669AA">
        <w:rPr>
          <w:rFonts w:eastAsia="MS Mincho"/>
          <w:b/>
          <w:bCs/>
          <w:szCs w:val="24"/>
          <w:lang w:val="en-ID" w:eastAsia="en-US"/>
        </w:rPr>
        <w:t>1. Karakteristik Sampel</w:t>
      </w:r>
    </w:p>
    <w:p w14:paraId="26048E09" w14:textId="77777777" w:rsidR="00D669AA" w:rsidRPr="00D669AA" w:rsidRDefault="00D669AA" w:rsidP="00D669AA">
      <w:pPr>
        <w:spacing w:before="60" w:after="120" w:line="240" w:lineRule="auto"/>
        <w:ind w:left="360" w:right="22"/>
        <w:rPr>
          <w:rFonts w:eastAsia="MS Mincho"/>
          <w:szCs w:val="24"/>
          <w:lang w:val="en-ID" w:eastAsia="en-US"/>
        </w:rPr>
      </w:pPr>
      <w:r w:rsidRPr="00D669AA">
        <w:rPr>
          <w:rFonts w:eastAsia="MS Mincho"/>
          <w:szCs w:val="24"/>
          <w:lang w:val="en-ID" w:eastAsia="en-US"/>
        </w:rPr>
        <w:t xml:space="preserve">Penelitian ini melibatkan total </w:t>
      </w:r>
      <w:r w:rsidRPr="00D669AA">
        <w:rPr>
          <w:rFonts w:eastAsia="MS Mincho"/>
          <w:b/>
          <w:bCs/>
          <w:szCs w:val="24"/>
          <w:lang w:val="en-ID" w:eastAsia="en-US"/>
        </w:rPr>
        <w:t>123 siswa SDI Al-Chusnaini</w:t>
      </w:r>
      <w:r w:rsidRPr="00D669AA">
        <w:rPr>
          <w:rFonts w:eastAsia="MS Mincho"/>
          <w:szCs w:val="24"/>
          <w:lang w:val="en-ID" w:eastAsia="en-US"/>
        </w:rPr>
        <w:t xml:space="preserve">, terdiri atas </w:t>
      </w:r>
      <w:r w:rsidRPr="00D669AA">
        <w:rPr>
          <w:rFonts w:eastAsia="MS Mincho"/>
          <w:b/>
          <w:bCs/>
          <w:szCs w:val="24"/>
          <w:lang w:val="en-ID" w:eastAsia="en-US"/>
        </w:rPr>
        <w:t>65 siswa laki-laki (52,8%)</w:t>
      </w:r>
      <w:r w:rsidRPr="00D669AA">
        <w:rPr>
          <w:rFonts w:eastAsia="MS Mincho"/>
          <w:szCs w:val="24"/>
          <w:lang w:val="en-ID" w:eastAsia="en-US"/>
        </w:rPr>
        <w:t xml:space="preserve"> dan </w:t>
      </w:r>
      <w:r w:rsidRPr="00D669AA">
        <w:rPr>
          <w:rFonts w:eastAsia="MS Mincho"/>
          <w:b/>
          <w:bCs/>
          <w:szCs w:val="24"/>
          <w:lang w:val="en-ID" w:eastAsia="en-US"/>
        </w:rPr>
        <w:t>58 siswa perempuan (47,2%)</w:t>
      </w:r>
      <w:r w:rsidRPr="00D669AA">
        <w:rPr>
          <w:rFonts w:eastAsia="MS Mincho"/>
          <w:szCs w:val="24"/>
          <w:lang w:val="en-ID" w:eastAsia="en-US"/>
        </w:rPr>
        <w:t xml:space="preserve">. Sebanyak </w:t>
      </w:r>
      <w:r w:rsidRPr="00D669AA">
        <w:rPr>
          <w:rFonts w:eastAsia="MS Mincho"/>
          <w:b/>
          <w:bCs/>
          <w:szCs w:val="24"/>
          <w:lang w:val="en-ID" w:eastAsia="en-US"/>
        </w:rPr>
        <w:t>64 siswa (52,0%)</w:t>
      </w:r>
      <w:r w:rsidRPr="00D669AA">
        <w:rPr>
          <w:rFonts w:eastAsia="MS Mincho"/>
          <w:szCs w:val="24"/>
          <w:lang w:val="en-ID" w:eastAsia="en-US"/>
        </w:rPr>
        <w:t xml:space="preserve"> termasuk dalam </w:t>
      </w:r>
      <w:r w:rsidRPr="00D669AA">
        <w:rPr>
          <w:rFonts w:eastAsia="MS Mincho"/>
          <w:b/>
          <w:bCs/>
          <w:szCs w:val="24"/>
          <w:lang w:val="en-ID" w:eastAsia="en-US"/>
        </w:rPr>
        <w:t>kelompok aktif ekstrakurikuler olahraga</w:t>
      </w:r>
      <w:r w:rsidRPr="00D669AA">
        <w:rPr>
          <w:rFonts w:eastAsia="MS Mincho"/>
          <w:szCs w:val="24"/>
          <w:lang w:val="en-ID" w:eastAsia="en-US"/>
        </w:rPr>
        <w:t xml:space="preserve">, sementara </w:t>
      </w:r>
      <w:r w:rsidRPr="00D669AA">
        <w:rPr>
          <w:rFonts w:eastAsia="MS Mincho"/>
          <w:b/>
          <w:bCs/>
          <w:szCs w:val="24"/>
          <w:lang w:val="en-ID" w:eastAsia="en-US"/>
        </w:rPr>
        <w:t>59 siswa (48,0%)</w:t>
      </w:r>
      <w:r w:rsidRPr="00D669AA">
        <w:rPr>
          <w:rFonts w:eastAsia="MS Mincho"/>
          <w:szCs w:val="24"/>
          <w:lang w:val="en-ID" w:eastAsia="en-US"/>
        </w:rPr>
        <w:t xml:space="preserve"> termasuk dalam </w:t>
      </w:r>
      <w:r w:rsidRPr="00D669AA">
        <w:rPr>
          <w:rFonts w:eastAsia="MS Mincho"/>
          <w:b/>
          <w:bCs/>
          <w:szCs w:val="24"/>
          <w:lang w:val="en-ID" w:eastAsia="en-US"/>
        </w:rPr>
        <w:t>kelompok tidak aktif ekstrakurikuler</w:t>
      </w:r>
      <w:r w:rsidRPr="00D669AA">
        <w:rPr>
          <w:rFonts w:eastAsia="MS Mincho"/>
          <w:szCs w:val="24"/>
          <w:lang w:val="en-ID" w:eastAsia="en-US"/>
        </w:rPr>
        <w:t xml:space="preserve">. Seluruh responden berusia antara </w:t>
      </w:r>
      <w:r w:rsidRPr="00D669AA">
        <w:rPr>
          <w:rFonts w:eastAsia="MS Mincho"/>
          <w:b/>
          <w:bCs/>
          <w:szCs w:val="24"/>
          <w:lang w:val="en-ID" w:eastAsia="en-US"/>
        </w:rPr>
        <w:t>9–12 tahun</w:t>
      </w:r>
      <w:r w:rsidRPr="00D669AA">
        <w:rPr>
          <w:rFonts w:eastAsia="MS Mincho"/>
          <w:szCs w:val="24"/>
          <w:lang w:val="en-ID" w:eastAsia="en-US"/>
        </w:rPr>
        <w:t xml:space="preserve"> dengan rerata usia 10,4 ± 0,9 tahun.</w:t>
      </w:r>
    </w:p>
    <w:p w14:paraId="17C9B8C0" w14:textId="77777777" w:rsidR="00D669AA" w:rsidRPr="00D669AA" w:rsidRDefault="00D669AA" w:rsidP="00D669AA">
      <w:pPr>
        <w:spacing w:before="60" w:after="120" w:line="240" w:lineRule="auto"/>
        <w:ind w:left="360" w:right="22"/>
        <w:rPr>
          <w:rFonts w:eastAsia="MS Mincho"/>
          <w:b/>
          <w:bCs/>
          <w:szCs w:val="24"/>
          <w:lang w:val="en-ID" w:eastAsia="en-US"/>
        </w:rPr>
      </w:pPr>
      <w:r w:rsidRPr="00D669AA">
        <w:rPr>
          <w:rFonts w:eastAsia="MS Mincho"/>
          <w:b/>
          <w:bCs/>
          <w:szCs w:val="24"/>
          <w:lang w:val="en-ID" w:eastAsia="en-US"/>
        </w:rPr>
        <w:t>2. Deskripsi Skor TGMD-2</w:t>
      </w:r>
    </w:p>
    <w:p w14:paraId="30C15114" w14:textId="77777777" w:rsidR="00D669AA" w:rsidRPr="00D669AA" w:rsidRDefault="00D669AA" w:rsidP="00D669AA">
      <w:pPr>
        <w:spacing w:before="60" w:after="120" w:line="240" w:lineRule="auto"/>
        <w:ind w:left="360" w:right="22"/>
        <w:rPr>
          <w:rFonts w:eastAsia="MS Mincho"/>
          <w:szCs w:val="24"/>
          <w:lang w:val="en-ID" w:eastAsia="en-US"/>
        </w:rPr>
      </w:pPr>
      <w:r w:rsidRPr="00D669AA">
        <w:rPr>
          <w:rFonts w:eastAsia="MS Mincho"/>
          <w:szCs w:val="24"/>
          <w:lang w:val="en-ID" w:eastAsia="en-US"/>
        </w:rPr>
        <w:t xml:space="preserve">Penilaian keterampilan motorik kasar dilakukan menggunakan </w:t>
      </w:r>
      <w:r w:rsidRPr="00D669AA">
        <w:rPr>
          <w:rFonts w:eastAsia="MS Mincho"/>
          <w:b/>
          <w:bCs/>
          <w:szCs w:val="24"/>
          <w:lang w:val="en-ID" w:eastAsia="en-US"/>
        </w:rPr>
        <w:t>TGMD-2</w:t>
      </w:r>
      <w:r w:rsidRPr="00D669AA">
        <w:rPr>
          <w:rFonts w:eastAsia="MS Mincho"/>
          <w:szCs w:val="24"/>
          <w:lang w:val="en-ID" w:eastAsia="en-US"/>
        </w:rPr>
        <w:t xml:space="preserve"> yang mencakup dua subtes: </w:t>
      </w:r>
      <w:r w:rsidRPr="00D669AA">
        <w:rPr>
          <w:rFonts w:eastAsia="MS Mincho"/>
          <w:b/>
          <w:bCs/>
          <w:szCs w:val="24"/>
          <w:lang w:val="en-ID" w:eastAsia="en-US"/>
        </w:rPr>
        <w:t>lokomotor</w:t>
      </w:r>
      <w:r w:rsidRPr="00D669AA">
        <w:rPr>
          <w:rFonts w:eastAsia="MS Mincho"/>
          <w:szCs w:val="24"/>
          <w:lang w:val="en-ID" w:eastAsia="en-US"/>
        </w:rPr>
        <w:t xml:space="preserve"> dan </w:t>
      </w:r>
      <w:r w:rsidRPr="00D669AA">
        <w:rPr>
          <w:rFonts w:eastAsia="MS Mincho"/>
          <w:b/>
          <w:bCs/>
          <w:szCs w:val="24"/>
          <w:lang w:val="en-ID" w:eastAsia="en-US"/>
        </w:rPr>
        <w:t xml:space="preserve">kontrol objek </w:t>
      </w:r>
      <w:r w:rsidRPr="00BD732A">
        <w:rPr>
          <w:rFonts w:eastAsia="MS Mincho"/>
          <w:b/>
          <w:bCs/>
          <w:i/>
          <w:iCs/>
          <w:szCs w:val="24"/>
          <w:lang w:val="en-ID" w:eastAsia="en-US"/>
        </w:rPr>
        <w:t>(object control)</w:t>
      </w:r>
      <w:r w:rsidRPr="00D669AA">
        <w:rPr>
          <w:rFonts w:eastAsia="MS Mincho"/>
          <w:szCs w:val="24"/>
          <w:lang w:val="en-ID" w:eastAsia="en-US"/>
        </w:rPr>
        <w:t xml:space="preserve">. Setiap subtes menghasilkan skor mentah yang dikonversi menjadi </w:t>
      </w:r>
      <w:r w:rsidRPr="00BD732A">
        <w:rPr>
          <w:rFonts w:eastAsia="MS Mincho"/>
          <w:b/>
          <w:bCs/>
          <w:i/>
          <w:iCs/>
          <w:szCs w:val="24"/>
          <w:lang w:val="en-ID" w:eastAsia="en-US"/>
        </w:rPr>
        <w:t>Gross Motor Quotient (GMQ)</w:t>
      </w:r>
      <w:r w:rsidRPr="00D669AA">
        <w:rPr>
          <w:rFonts w:eastAsia="MS Mincho"/>
          <w:szCs w:val="24"/>
          <w:lang w:val="en-ID" w:eastAsia="en-US"/>
        </w:rPr>
        <w:t>. Tabel 1 menunjukkan hasil deskriptif kedua kelompok.</w:t>
      </w:r>
    </w:p>
    <w:p w14:paraId="03503001" w14:textId="77777777" w:rsidR="00D669AA" w:rsidRDefault="00D669AA" w:rsidP="00D669AA">
      <w:pPr>
        <w:spacing w:before="60" w:after="120" w:line="240" w:lineRule="auto"/>
        <w:ind w:left="360" w:right="22"/>
        <w:rPr>
          <w:rFonts w:eastAsia="MS Mincho"/>
          <w:b/>
          <w:bCs/>
          <w:szCs w:val="24"/>
          <w:lang w:val="en-ID" w:eastAsia="en-US"/>
        </w:rPr>
      </w:pPr>
      <w:r w:rsidRPr="00D669AA">
        <w:rPr>
          <w:rFonts w:eastAsia="MS Mincho"/>
          <w:b/>
          <w:bCs/>
          <w:szCs w:val="24"/>
          <w:lang w:val="en-ID" w:eastAsia="en-US"/>
        </w:rPr>
        <w:t>Tabel 1. Skor TGMD-2 berdasarkan Partisipasi Ekstrakurikuler Olahraga</w:t>
      </w:r>
    </w:p>
    <w:p w14:paraId="37F6B7E4" w14:textId="77777777" w:rsidR="00D97118" w:rsidRDefault="00D97118" w:rsidP="00D669AA">
      <w:pPr>
        <w:spacing w:before="60" w:after="120" w:line="240" w:lineRule="auto"/>
        <w:ind w:left="360" w:right="22"/>
        <w:rPr>
          <w:rFonts w:eastAsia="MS Mincho"/>
          <w:b/>
          <w:bCs/>
          <w:szCs w:val="24"/>
          <w:lang w:val="en-ID" w:eastAsia="en-US"/>
        </w:rPr>
      </w:pPr>
    </w:p>
    <w:tbl>
      <w:tblPr>
        <w:tblStyle w:val="PlainTable2"/>
        <w:tblW w:w="0" w:type="auto"/>
        <w:tblInd w:w="360" w:type="dxa"/>
        <w:tblLook w:val="0720" w:firstRow="1" w:lastRow="0" w:firstColumn="0" w:lastColumn="1" w:noHBand="1" w:noVBand="1"/>
      </w:tblPr>
      <w:tblGrid>
        <w:gridCol w:w="2643"/>
        <w:gridCol w:w="2311"/>
        <w:gridCol w:w="2791"/>
        <w:gridCol w:w="915"/>
      </w:tblGrid>
      <w:tr w:rsidR="00493BF6" w:rsidRPr="00493BF6" w14:paraId="68BFD57E" w14:textId="77777777" w:rsidTr="00D97118">
        <w:trPr>
          <w:cnfStyle w:val="100000000000" w:firstRow="1" w:lastRow="0" w:firstColumn="0" w:lastColumn="0" w:oddVBand="0" w:evenVBand="0" w:oddHBand="0" w:evenHBand="0" w:firstRowFirstColumn="0" w:firstRowLastColumn="0" w:lastRowFirstColumn="0" w:lastRowLastColumn="0"/>
        </w:trPr>
        <w:tc>
          <w:tcPr>
            <w:tcW w:w="0" w:type="auto"/>
            <w:hideMark/>
          </w:tcPr>
          <w:p w14:paraId="1E26F1ED" w14:textId="77777777" w:rsidR="00493BF6" w:rsidRPr="00493BF6" w:rsidRDefault="00493BF6" w:rsidP="00493BF6">
            <w:pPr>
              <w:spacing w:before="0" w:line="240" w:lineRule="auto"/>
              <w:jc w:val="center"/>
              <w:rPr>
                <w:szCs w:val="24"/>
                <w:lang w:val="en-ID" w:eastAsia="en-ID"/>
              </w:rPr>
            </w:pPr>
            <w:r w:rsidRPr="00493BF6">
              <w:rPr>
                <w:szCs w:val="24"/>
                <w:lang w:val="en-ID" w:eastAsia="en-ID"/>
              </w:rPr>
              <w:t>Variabel TGMD-2</w:t>
            </w:r>
          </w:p>
        </w:tc>
        <w:tc>
          <w:tcPr>
            <w:tcW w:w="0" w:type="auto"/>
            <w:hideMark/>
          </w:tcPr>
          <w:p w14:paraId="571BE04C" w14:textId="77777777" w:rsidR="00493BF6" w:rsidRPr="00493BF6" w:rsidRDefault="00493BF6" w:rsidP="00493BF6">
            <w:pPr>
              <w:spacing w:before="0" w:line="240" w:lineRule="auto"/>
              <w:jc w:val="center"/>
              <w:rPr>
                <w:szCs w:val="24"/>
                <w:lang w:val="en-ID" w:eastAsia="en-ID"/>
              </w:rPr>
            </w:pPr>
            <w:r w:rsidRPr="00493BF6">
              <w:rPr>
                <w:szCs w:val="24"/>
                <w:lang w:val="en-ID" w:eastAsia="en-ID"/>
              </w:rPr>
              <w:t>Kelompok Aktif (n = 64)</w:t>
            </w:r>
          </w:p>
        </w:tc>
        <w:tc>
          <w:tcPr>
            <w:tcW w:w="0" w:type="auto"/>
            <w:hideMark/>
          </w:tcPr>
          <w:p w14:paraId="63789D39" w14:textId="77777777" w:rsidR="00493BF6" w:rsidRPr="00493BF6" w:rsidRDefault="00493BF6" w:rsidP="00493BF6">
            <w:pPr>
              <w:spacing w:before="0" w:line="240" w:lineRule="auto"/>
              <w:jc w:val="center"/>
              <w:rPr>
                <w:szCs w:val="24"/>
                <w:lang w:val="en-ID" w:eastAsia="en-ID"/>
              </w:rPr>
            </w:pPr>
            <w:r w:rsidRPr="00493BF6">
              <w:rPr>
                <w:szCs w:val="24"/>
                <w:lang w:val="en-ID" w:eastAsia="en-ID"/>
              </w:rPr>
              <w:t>Kelompok Tidak Aktif (n = 59)</w:t>
            </w:r>
          </w:p>
        </w:tc>
        <w:tc>
          <w:tcPr>
            <w:cnfStyle w:val="000100000000" w:firstRow="0" w:lastRow="0" w:firstColumn="0" w:lastColumn="1" w:oddVBand="0" w:evenVBand="0" w:oddHBand="0" w:evenHBand="0" w:firstRowFirstColumn="0" w:firstRowLastColumn="0" w:lastRowFirstColumn="0" w:lastRowLastColumn="0"/>
            <w:tcW w:w="0" w:type="auto"/>
            <w:hideMark/>
          </w:tcPr>
          <w:p w14:paraId="253476D7" w14:textId="77777777" w:rsidR="00493BF6" w:rsidRPr="00493BF6" w:rsidRDefault="00493BF6" w:rsidP="00493BF6">
            <w:pPr>
              <w:spacing w:before="0" w:line="240" w:lineRule="auto"/>
              <w:jc w:val="center"/>
              <w:rPr>
                <w:szCs w:val="24"/>
                <w:lang w:val="en-ID" w:eastAsia="en-ID"/>
              </w:rPr>
            </w:pPr>
            <w:r w:rsidRPr="00493BF6">
              <w:rPr>
                <w:szCs w:val="24"/>
                <w:lang w:val="en-ID" w:eastAsia="en-ID"/>
              </w:rPr>
              <w:t>p-value</w:t>
            </w:r>
          </w:p>
        </w:tc>
      </w:tr>
      <w:tr w:rsidR="00493BF6" w:rsidRPr="00493BF6" w14:paraId="7EBF6DF0" w14:textId="77777777" w:rsidTr="00D97118">
        <w:tc>
          <w:tcPr>
            <w:tcW w:w="0" w:type="auto"/>
            <w:hideMark/>
          </w:tcPr>
          <w:p w14:paraId="226E363D" w14:textId="77777777" w:rsidR="00493BF6" w:rsidRPr="00493BF6" w:rsidRDefault="00493BF6" w:rsidP="00493BF6">
            <w:pPr>
              <w:spacing w:before="0" w:line="240" w:lineRule="auto"/>
              <w:jc w:val="left"/>
              <w:rPr>
                <w:szCs w:val="24"/>
                <w:lang w:val="en-ID" w:eastAsia="en-ID"/>
              </w:rPr>
            </w:pPr>
            <w:r w:rsidRPr="00493BF6">
              <w:rPr>
                <w:szCs w:val="24"/>
                <w:lang w:val="en-ID" w:eastAsia="en-ID"/>
              </w:rPr>
              <w:t>Lokomotor (rata-rata ± SD)</w:t>
            </w:r>
          </w:p>
        </w:tc>
        <w:tc>
          <w:tcPr>
            <w:tcW w:w="0" w:type="auto"/>
            <w:hideMark/>
          </w:tcPr>
          <w:p w14:paraId="79239879" w14:textId="77777777" w:rsidR="00493BF6" w:rsidRPr="00493BF6" w:rsidRDefault="00493BF6" w:rsidP="00493BF6">
            <w:pPr>
              <w:spacing w:before="0" w:line="240" w:lineRule="auto"/>
              <w:jc w:val="left"/>
              <w:rPr>
                <w:szCs w:val="24"/>
                <w:lang w:val="en-ID" w:eastAsia="en-ID"/>
              </w:rPr>
            </w:pPr>
            <w:r w:rsidRPr="00493BF6">
              <w:rPr>
                <w:szCs w:val="24"/>
                <w:lang w:val="en-ID" w:eastAsia="en-ID"/>
              </w:rPr>
              <w:t>46,8 ± 4,9</w:t>
            </w:r>
          </w:p>
        </w:tc>
        <w:tc>
          <w:tcPr>
            <w:tcW w:w="0" w:type="auto"/>
            <w:hideMark/>
          </w:tcPr>
          <w:p w14:paraId="659D63C0" w14:textId="77777777" w:rsidR="00493BF6" w:rsidRPr="00493BF6" w:rsidRDefault="00493BF6" w:rsidP="00493BF6">
            <w:pPr>
              <w:spacing w:before="0" w:line="240" w:lineRule="auto"/>
              <w:jc w:val="left"/>
              <w:rPr>
                <w:szCs w:val="24"/>
                <w:lang w:val="en-ID" w:eastAsia="en-ID"/>
              </w:rPr>
            </w:pPr>
            <w:r w:rsidRPr="00493BF6">
              <w:rPr>
                <w:szCs w:val="24"/>
                <w:lang w:val="en-ID" w:eastAsia="en-ID"/>
              </w:rPr>
              <w:t>42,1 ± 5,3</w:t>
            </w:r>
          </w:p>
        </w:tc>
        <w:tc>
          <w:tcPr>
            <w:cnfStyle w:val="000100000000" w:firstRow="0" w:lastRow="0" w:firstColumn="0" w:lastColumn="1" w:oddVBand="0" w:evenVBand="0" w:oddHBand="0" w:evenHBand="0" w:firstRowFirstColumn="0" w:firstRowLastColumn="0" w:lastRowFirstColumn="0" w:lastRowLastColumn="0"/>
            <w:tcW w:w="0" w:type="auto"/>
            <w:hideMark/>
          </w:tcPr>
          <w:p w14:paraId="62089816" w14:textId="77777777" w:rsidR="00493BF6" w:rsidRPr="00493BF6" w:rsidRDefault="00493BF6" w:rsidP="00493BF6">
            <w:pPr>
              <w:spacing w:before="0" w:line="240" w:lineRule="auto"/>
              <w:jc w:val="left"/>
              <w:rPr>
                <w:szCs w:val="24"/>
                <w:lang w:val="en-ID" w:eastAsia="en-ID"/>
              </w:rPr>
            </w:pPr>
            <w:r w:rsidRPr="00493BF6">
              <w:rPr>
                <w:szCs w:val="24"/>
                <w:lang w:val="en-ID" w:eastAsia="en-ID"/>
              </w:rPr>
              <w:t>&lt; 0,001</w:t>
            </w:r>
          </w:p>
        </w:tc>
      </w:tr>
      <w:tr w:rsidR="00493BF6" w:rsidRPr="00493BF6" w14:paraId="6A62C048" w14:textId="77777777" w:rsidTr="00D97118">
        <w:tc>
          <w:tcPr>
            <w:tcW w:w="0" w:type="auto"/>
            <w:hideMark/>
          </w:tcPr>
          <w:p w14:paraId="10E98A40" w14:textId="77777777" w:rsidR="00493BF6" w:rsidRPr="00493BF6" w:rsidRDefault="00493BF6" w:rsidP="00493BF6">
            <w:pPr>
              <w:spacing w:before="0" w:line="240" w:lineRule="auto"/>
              <w:jc w:val="left"/>
              <w:rPr>
                <w:szCs w:val="24"/>
                <w:lang w:val="en-ID" w:eastAsia="en-ID"/>
              </w:rPr>
            </w:pPr>
            <w:r w:rsidRPr="00493BF6">
              <w:rPr>
                <w:szCs w:val="24"/>
                <w:lang w:val="en-ID" w:eastAsia="en-ID"/>
              </w:rPr>
              <w:t>Kontrol Objek (rata-rata ± SD)</w:t>
            </w:r>
          </w:p>
        </w:tc>
        <w:tc>
          <w:tcPr>
            <w:tcW w:w="0" w:type="auto"/>
            <w:hideMark/>
          </w:tcPr>
          <w:p w14:paraId="6A6968AD" w14:textId="77777777" w:rsidR="00493BF6" w:rsidRPr="00493BF6" w:rsidRDefault="00493BF6" w:rsidP="00493BF6">
            <w:pPr>
              <w:spacing w:before="0" w:line="240" w:lineRule="auto"/>
              <w:jc w:val="left"/>
              <w:rPr>
                <w:szCs w:val="24"/>
                <w:lang w:val="en-ID" w:eastAsia="en-ID"/>
              </w:rPr>
            </w:pPr>
            <w:r w:rsidRPr="00493BF6">
              <w:rPr>
                <w:szCs w:val="24"/>
                <w:lang w:val="en-ID" w:eastAsia="en-ID"/>
              </w:rPr>
              <w:t>45,3 ± 5,1</w:t>
            </w:r>
          </w:p>
        </w:tc>
        <w:tc>
          <w:tcPr>
            <w:tcW w:w="0" w:type="auto"/>
            <w:hideMark/>
          </w:tcPr>
          <w:p w14:paraId="68E1B439" w14:textId="77777777" w:rsidR="00493BF6" w:rsidRPr="00493BF6" w:rsidRDefault="00493BF6" w:rsidP="00493BF6">
            <w:pPr>
              <w:spacing w:before="0" w:line="240" w:lineRule="auto"/>
              <w:jc w:val="left"/>
              <w:rPr>
                <w:szCs w:val="24"/>
                <w:lang w:val="en-ID" w:eastAsia="en-ID"/>
              </w:rPr>
            </w:pPr>
            <w:r w:rsidRPr="00493BF6">
              <w:rPr>
                <w:szCs w:val="24"/>
                <w:lang w:val="en-ID" w:eastAsia="en-ID"/>
              </w:rPr>
              <w:t>41,5 ± 5,4</w:t>
            </w:r>
          </w:p>
        </w:tc>
        <w:tc>
          <w:tcPr>
            <w:cnfStyle w:val="000100000000" w:firstRow="0" w:lastRow="0" w:firstColumn="0" w:lastColumn="1" w:oddVBand="0" w:evenVBand="0" w:oddHBand="0" w:evenHBand="0" w:firstRowFirstColumn="0" w:firstRowLastColumn="0" w:lastRowFirstColumn="0" w:lastRowLastColumn="0"/>
            <w:tcW w:w="0" w:type="auto"/>
            <w:hideMark/>
          </w:tcPr>
          <w:p w14:paraId="35CBE6D1" w14:textId="77777777" w:rsidR="00493BF6" w:rsidRPr="00493BF6" w:rsidRDefault="00493BF6" w:rsidP="00493BF6">
            <w:pPr>
              <w:spacing w:before="0" w:line="240" w:lineRule="auto"/>
              <w:jc w:val="left"/>
              <w:rPr>
                <w:szCs w:val="24"/>
                <w:lang w:val="en-ID" w:eastAsia="en-ID"/>
              </w:rPr>
            </w:pPr>
            <w:r w:rsidRPr="00493BF6">
              <w:rPr>
                <w:szCs w:val="24"/>
                <w:lang w:val="en-ID" w:eastAsia="en-ID"/>
              </w:rPr>
              <w:t>0,002</w:t>
            </w:r>
          </w:p>
        </w:tc>
      </w:tr>
      <w:tr w:rsidR="00493BF6" w:rsidRPr="00493BF6" w14:paraId="7D269C77" w14:textId="77777777" w:rsidTr="00D97118">
        <w:tc>
          <w:tcPr>
            <w:tcW w:w="0" w:type="auto"/>
            <w:hideMark/>
          </w:tcPr>
          <w:p w14:paraId="69777A9F" w14:textId="77777777" w:rsidR="00493BF6" w:rsidRPr="00493BF6" w:rsidRDefault="00493BF6" w:rsidP="00493BF6">
            <w:pPr>
              <w:spacing w:before="0" w:line="240" w:lineRule="auto"/>
              <w:jc w:val="left"/>
              <w:rPr>
                <w:szCs w:val="24"/>
                <w:lang w:val="en-ID" w:eastAsia="en-ID"/>
              </w:rPr>
            </w:pPr>
            <w:r w:rsidRPr="00493BF6">
              <w:rPr>
                <w:szCs w:val="24"/>
                <w:lang w:val="en-ID" w:eastAsia="en-ID"/>
              </w:rPr>
              <w:t>Gross Motor Quotient (GMQ)</w:t>
            </w:r>
          </w:p>
        </w:tc>
        <w:tc>
          <w:tcPr>
            <w:tcW w:w="0" w:type="auto"/>
            <w:hideMark/>
          </w:tcPr>
          <w:p w14:paraId="27A81841" w14:textId="77777777" w:rsidR="00493BF6" w:rsidRPr="00493BF6" w:rsidRDefault="00493BF6" w:rsidP="00493BF6">
            <w:pPr>
              <w:spacing w:before="0" w:line="240" w:lineRule="auto"/>
              <w:jc w:val="left"/>
              <w:rPr>
                <w:szCs w:val="24"/>
                <w:lang w:val="en-ID" w:eastAsia="en-ID"/>
              </w:rPr>
            </w:pPr>
            <w:r w:rsidRPr="00493BF6">
              <w:rPr>
                <w:b/>
                <w:bCs/>
                <w:szCs w:val="24"/>
                <w:lang w:val="en-ID" w:eastAsia="en-ID"/>
              </w:rPr>
              <w:t>92,1 ± 8,3</w:t>
            </w:r>
          </w:p>
        </w:tc>
        <w:tc>
          <w:tcPr>
            <w:tcW w:w="0" w:type="auto"/>
            <w:hideMark/>
          </w:tcPr>
          <w:p w14:paraId="76B73E11" w14:textId="77777777" w:rsidR="00493BF6" w:rsidRPr="00493BF6" w:rsidRDefault="00493BF6" w:rsidP="00493BF6">
            <w:pPr>
              <w:spacing w:before="0" w:line="240" w:lineRule="auto"/>
              <w:jc w:val="left"/>
              <w:rPr>
                <w:szCs w:val="24"/>
                <w:lang w:val="en-ID" w:eastAsia="en-ID"/>
              </w:rPr>
            </w:pPr>
            <w:r w:rsidRPr="00493BF6">
              <w:rPr>
                <w:b/>
                <w:bCs/>
                <w:szCs w:val="24"/>
                <w:lang w:val="en-ID" w:eastAsia="en-ID"/>
              </w:rPr>
              <w:t>83,7 ± 9,1</w:t>
            </w:r>
          </w:p>
        </w:tc>
        <w:tc>
          <w:tcPr>
            <w:cnfStyle w:val="000100000000" w:firstRow="0" w:lastRow="0" w:firstColumn="0" w:lastColumn="1" w:oddVBand="0" w:evenVBand="0" w:oddHBand="0" w:evenHBand="0" w:firstRowFirstColumn="0" w:firstRowLastColumn="0" w:lastRowFirstColumn="0" w:lastRowLastColumn="0"/>
            <w:tcW w:w="0" w:type="auto"/>
            <w:hideMark/>
          </w:tcPr>
          <w:p w14:paraId="6ED504D0" w14:textId="77777777" w:rsidR="00493BF6" w:rsidRPr="00493BF6" w:rsidRDefault="00493BF6" w:rsidP="00493BF6">
            <w:pPr>
              <w:spacing w:before="0" w:line="240" w:lineRule="auto"/>
              <w:jc w:val="left"/>
              <w:rPr>
                <w:szCs w:val="24"/>
                <w:lang w:val="en-ID" w:eastAsia="en-ID"/>
              </w:rPr>
            </w:pPr>
            <w:r w:rsidRPr="00493BF6">
              <w:rPr>
                <w:szCs w:val="24"/>
                <w:lang w:val="en-ID" w:eastAsia="en-ID"/>
              </w:rPr>
              <w:t>&lt; 0,001</w:t>
            </w:r>
          </w:p>
        </w:tc>
      </w:tr>
    </w:tbl>
    <w:p w14:paraId="1D51C241" w14:textId="3B6797B2" w:rsidR="00EF5F08" w:rsidRDefault="00D97118" w:rsidP="00D97118">
      <w:pPr>
        <w:spacing w:before="60" w:after="120" w:line="240" w:lineRule="auto"/>
        <w:ind w:left="360" w:right="22"/>
        <w:jc w:val="center"/>
        <w:rPr>
          <w:rFonts w:eastAsia="MS Mincho"/>
          <w:i/>
          <w:iCs/>
          <w:szCs w:val="24"/>
          <w:lang w:eastAsia="en-US"/>
        </w:rPr>
      </w:pPr>
      <w:r w:rsidRPr="00D97118">
        <w:rPr>
          <w:rFonts w:eastAsia="MS Mincho"/>
          <w:i/>
          <w:iCs/>
          <w:szCs w:val="24"/>
          <w:lang w:eastAsia="en-US"/>
        </w:rPr>
        <w:t>Sumber: Data primer hasil pengukuran TGMD-2, 2025.</w:t>
      </w:r>
    </w:p>
    <w:p w14:paraId="1DD4362B" w14:textId="77777777" w:rsidR="00D97118" w:rsidRPr="00D97118" w:rsidRDefault="00D97118" w:rsidP="00D97118">
      <w:pPr>
        <w:spacing w:before="60" w:after="120" w:line="240" w:lineRule="auto"/>
        <w:ind w:left="360" w:right="22"/>
        <w:jc w:val="left"/>
        <w:rPr>
          <w:rFonts w:eastAsia="MS Mincho"/>
          <w:szCs w:val="24"/>
          <w:lang w:val="en-ID" w:eastAsia="en-US"/>
        </w:rPr>
      </w:pPr>
      <w:r w:rsidRPr="00D97118">
        <w:rPr>
          <w:rFonts w:eastAsia="MS Mincho"/>
          <w:szCs w:val="24"/>
          <w:lang w:val="en-ID" w:eastAsia="en-US"/>
        </w:rPr>
        <w:t xml:space="preserve">Dari Tabel 1 terlihat bahwa rata-rata skor GMQ kelompok aktif lebih tinggi (92,1 ± 8,3) dibanding kelompok tidak aktif (83,7 ± 9,1). Perbedaan ini </w:t>
      </w:r>
      <w:r w:rsidRPr="00D97118">
        <w:rPr>
          <w:rFonts w:eastAsia="MS Mincho"/>
          <w:b/>
          <w:bCs/>
          <w:szCs w:val="24"/>
          <w:lang w:val="en-ID" w:eastAsia="en-US"/>
        </w:rPr>
        <w:t>signifikan secara statistik (p &lt; 0,001)</w:t>
      </w:r>
      <w:r w:rsidRPr="00D97118">
        <w:rPr>
          <w:rFonts w:eastAsia="MS Mincho"/>
          <w:szCs w:val="24"/>
          <w:lang w:val="en-ID" w:eastAsia="en-US"/>
        </w:rPr>
        <w:t xml:space="preserve"> berdasarkan </w:t>
      </w:r>
      <w:r w:rsidRPr="00BD732A">
        <w:rPr>
          <w:rFonts w:eastAsia="MS Mincho"/>
          <w:i/>
          <w:iCs/>
          <w:szCs w:val="24"/>
          <w:lang w:val="en-ID" w:eastAsia="en-US"/>
        </w:rPr>
        <w:t xml:space="preserve">uji </w:t>
      </w:r>
      <w:r w:rsidRPr="00BD732A">
        <w:rPr>
          <w:rFonts w:eastAsia="MS Mincho"/>
          <w:b/>
          <w:bCs/>
          <w:i/>
          <w:iCs/>
          <w:szCs w:val="24"/>
          <w:lang w:val="en-ID" w:eastAsia="en-US"/>
        </w:rPr>
        <w:t>t-independen</w:t>
      </w:r>
      <w:r w:rsidRPr="00D97118">
        <w:rPr>
          <w:rFonts w:eastAsia="MS Mincho"/>
          <w:szCs w:val="24"/>
          <w:lang w:val="en-ID" w:eastAsia="en-US"/>
        </w:rPr>
        <w:t>, yang berarti siswa aktif ekstrakurikuler olahraga memiliki keterampilan motorik kasar yang lebih baik.</w:t>
      </w:r>
    </w:p>
    <w:p w14:paraId="712ED0E2" w14:textId="77777777" w:rsidR="00D97118" w:rsidRPr="00D97118" w:rsidRDefault="00D97118" w:rsidP="00D97118">
      <w:pPr>
        <w:spacing w:before="60" w:after="120" w:line="240" w:lineRule="auto"/>
        <w:ind w:left="360" w:right="22"/>
        <w:jc w:val="left"/>
        <w:rPr>
          <w:rFonts w:eastAsia="MS Mincho"/>
          <w:b/>
          <w:bCs/>
          <w:szCs w:val="24"/>
          <w:lang w:val="en-ID" w:eastAsia="en-US"/>
        </w:rPr>
      </w:pPr>
      <w:r w:rsidRPr="00D97118">
        <w:rPr>
          <w:rFonts w:eastAsia="MS Mincho"/>
          <w:b/>
          <w:bCs/>
          <w:szCs w:val="24"/>
          <w:lang w:val="en-ID" w:eastAsia="en-US"/>
        </w:rPr>
        <w:t>3. Perbandingan Berdasarkan Jenis Kelamin</w:t>
      </w:r>
    </w:p>
    <w:p w14:paraId="2C104FF6" w14:textId="77777777" w:rsidR="00D97118" w:rsidRPr="00D97118" w:rsidRDefault="00D97118" w:rsidP="00D97118">
      <w:pPr>
        <w:spacing w:before="60" w:after="120" w:line="240" w:lineRule="auto"/>
        <w:ind w:left="360" w:right="22"/>
        <w:jc w:val="left"/>
        <w:rPr>
          <w:rFonts w:eastAsia="MS Mincho"/>
          <w:szCs w:val="24"/>
          <w:lang w:val="en-ID" w:eastAsia="en-US"/>
        </w:rPr>
      </w:pPr>
      <w:r w:rsidRPr="00D97118">
        <w:rPr>
          <w:rFonts w:eastAsia="MS Mincho"/>
          <w:szCs w:val="24"/>
          <w:lang w:val="en-ID" w:eastAsia="en-US"/>
        </w:rPr>
        <w:t>Selain partisipasi ekstrakurikuler, dilakukan analisis perbandingan menurut jenis kelamin. Hasilnya ditampilkan pada Tabel 2.</w:t>
      </w:r>
    </w:p>
    <w:p w14:paraId="08D84C8A" w14:textId="77777777" w:rsidR="00D97118" w:rsidRPr="00D97118" w:rsidRDefault="00D97118" w:rsidP="00D97118">
      <w:pPr>
        <w:spacing w:before="60" w:after="120" w:line="240" w:lineRule="auto"/>
        <w:ind w:left="360" w:right="22"/>
        <w:jc w:val="left"/>
        <w:rPr>
          <w:rFonts w:eastAsia="MS Mincho"/>
          <w:szCs w:val="24"/>
          <w:lang w:val="en-ID" w:eastAsia="en-US"/>
        </w:rPr>
      </w:pPr>
      <w:r w:rsidRPr="00D97118">
        <w:rPr>
          <w:rFonts w:eastAsia="MS Mincho"/>
          <w:b/>
          <w:bCs/>
          <w:szCs w:val="24"/>
          <w:lang w:val="en-ID" w:eastAsia="en-US"/>
        </w:rPr>
        <w:t>Tabel 2. Skor TGMD-2 Berdasarkan Jenis Kelamin</w:t>
      </w:r>
    </w:p>
    <w:tbl>
      <w:tblPr>
        <w:tblStyle w:val="PlainTable2"/>
        <w:tblW w:w="0" w:type="auto"/>
        <w:tblInd w:w="365" w:type="dxa"/>
        <w:tblLook w:val="0720" w:firstRow="1" w:lastRow="0" w:firstColumn="0" w:lastColumn="1" w:noHBand="1" w:noVBand="1"/>
      </w:tblPr>
      <w:tblGrid>
        <w:gridCol w:w="2162"/>
        <w:gridCol w:w="2162"/>
        <w:gridCol w:w="2163"/>
        <w:gridCol w:w="2163"/>
      </w:tblGrid>
      <w:tr w:rsidR="00D97118" w14:paraId="0B0B55DA" w14:textId="77777777" w:rsidTr="008D5A3E">
        <w:trPr>
          <w:cnfStyle w:val="100000000000" w:firstRow="1" w:lastRow="0" w:firstColumn="0" w:lastColumn="0" w:oddVBand="0" w:evenVBand="0" w:oddHBand="0" w:evenHBand="0" w:firstRowFirstColumn="0" w:firstRowLastColumn="0" w:lastRowFirstColumn="0" w:lastRowLastColumn="0"/>
        </w:trPr>
        <w:tc>
          <w:tcPr>
            <w:tcW w:w="2162" w:type="dxa"/>
          </w:tcPr>
          <w:p w14:paraId="566327B1" w14:textId="321C5B90" w:rsidR="00D97118" w:rsidRDefault="00D97118" w:rsidP="00D97118">
            <w:pPr>
              <w:spacing w:before="60" w:after="120" w:line="240" w:lineRule="auto"/>
              <w:ind w:right="22"/>
              <w:jc w:val="left"/>
              <w:rPr>
                <w:rFonts w:eastAsia="MS Mincho"/>
                <w:szCs w:val="24"/>
                <w:lang w:val="en-ID" w:eastAsia="en-US"/>
              </w:rPr>
            </w:pPr>
            <w:r>
              <w:rPr>
                <w:b w:val="0"/>
                <w:bCs w:val="0"/>
              </w:rPr>
              <w:t>Jenis Kelamin</w:t>
            </w:r>
          </w:p>
        </w:tc>
        <w:tc>
          <w:tcPr>
            <w:tcW w:w="2162" w:type="dxa"/>
          </w:tcPr>
          <w:p w14:paraId="34F697E1" w14:textId="3B19A3DB" w:rsidR="00D97118" w:rsidRDefault="00D97118" w:rsidP="00D97118">
            <w:pPr>
              <w:spacing w:before="60" w:after="120" w:line="240" w:lineRule="auto"/>
              <w:ind w:right="22"/>
              <w:jc w:val="left"/>
              <w:rPr>
                <w:rFonts w:eastAsia="MS Mincho"/>
                <w:szCs w:val="24"/>
                <w:lang w:val="en-ID" w:eastAsia="en-US"/>
              </w:rPr>
            </w:pPr>
            <w:r>
              <w:rPr>
                <w:b w:val="0"/>
                <w:bCs w:val="0"/>
              </w:rPr>
              <w:t>n</w:t>
            </w:r>
          </w:p>
        </w:tc>
        <w:tc>
          <w:tcPr>
            <w:tcW w:w="2163" w:type="dxa"/>
          </w:tcPr>
          <w:p w14:paraId="732D5FC3" w14:textId="31D56884" w:rsidR="00D97118" w:rsidRDefault="00D97118" w:rsidP="00D97118">
            <w:pPr>
              <w:spacing w:before="60" w:after="120" w:line="240" w:lineRule="auto"/>
              <w:ind w:right="22"/>
              <w:jc w:val="left"/>
              <w:rPr>
                <w:rFonts w:eastAsia="MS Mincho"/>
                <w:szCs w:val="24"/>
                <w:lang w:val="en-ID" w:eastAsia="en-US"/>
              </w:rPr>
            </w:pPr>
            <w:r>
              <w:rPr>
                <w:b w:val="0"/>
                <w:bCs w:val="0"/>
              </w:rPr>
              <w:t>GMQ (Mean ± SD)</w:t>
            </w:r>
          </w:p>
        </w:tc>
        <w:tc>
          <w:tcPr>
            <w:cnfStyle w:val="000100000000" w:firstRow="0" w:lastRow="0" w:firstColumn="0" w:lastColumn="1" w:oddVBand="0" w:evenVBand="0" w:oddHBand="0" w:evenHBand="0" w:firstRowFirstColumn="0" w:firstRowLastColumn="0" w:lastRowFirstColumn="0" w:lastRowLastColumn="0"/>
            <w:tcW w:w="2163" w:type="dxa"/>
          </w:tcPr>
          <w:p w14:paraId="2EBFB18E" w14:textId="2ECACC0B" w:rsidR="00D97118" w:rsidRPr="00D97118" w:rsidRDefault="00D97118" w:rsidP="00D97118">
            <w:pPr>
              <w:spacing w:before="60" w:after="120" w:line="240" w:lineRule="auto"/>
              <w:ind w:right="22"/>
              <w:jc w:val="left"/>
              <w:rPr>
                <w:rFonts w:eastAsia="MS Mincho"/>
                <w:b w:val="0"/>
                <w:bCs w:val="0"/>
                <w:szCs w:val="24"/>
                <w:lang w:val="en-ID" w:eastAsia="en-US"/>
              </w:rPr>
            </w:pPr>
            <w:r w:rsidRPr="00D97118">
              <w:rPr>
                <w:rFonts w:eastAsia="MS Mincho"/>
                <w:b w:val="0"/>
                <w:bCs w:val="0"/>
                <w:szCs w:val="24"/>
                <w:lang w:eastAsia="en-US"/>
              </w:rPr>
              <w:t>p-value</w:t>
            </w:r>
          </w:p>
        </w:tc>
      </w:tr>
      <w:tr w:rsidR="00D97118" w14:paraId="74198299" w14:textId="77777777" w:rsidTr="008D5A3E">
        <w:tc>
          <w:tcPr>
            <w:tcW w:w="2162" w:type="dxa"/>
          </w:tcPr>
          <w:p w14:paraId="4CE947B0" w14:textId="10F26892" w:rsidR="00D97118" w:rsidRDefault="00D97118" w:rsidP="00D97118">
            <w:pPr>
              <w:spacing w:before="60" w:after="120" w:line="240" w:lineRule="auto"/>
              <w:ind w:right="22"/>
              <w:jc w:val="left"/>
              <w:rPr>
                <w:rFonts w:eastAsia="MS Mincho"/>
                <w:szCs w:val="24"/>
                <w:lang w:val="en-ID" w:eastAsia="en-US"/>
              </w:rPr>
            </w:pPr>
            <w:r>
              <w:t>Laki-laki</w:t>
            </w:r>
          </w:p>
        </w:tc>
        <w:tc>
          <w:tcPr>
            <w:tcW w:w="2162" w:type="dxa"/>
          </w:tcPr>
          <w:p w14:paraId="2C700D52" w14:textId="79A978BF" w:rsidR="00D97118" w:rsidRDefault="00D97118" w:rsidP="00D97118">
            <w:pPr>
              <w:spacing w:before="60" w:after="120" w:line="240" w:lineRule="auto"/>
              <w:ind w:right="22"/>
              <w:jc w:val="left"/>
              <w:rPr>
                <w:rFonts w:eastAsia="MS Mincho"/>
                <w:szCs w:val="24"/>
                <w:lang w:val="en-ID" w:eastAsia="en-US"/>
              </w:rPr>
            </w:pPr>
            <w:r>
              <w:t>65</w:t>
            </w:r>
          </w:p>
        </w:tc>
        <w:tc>
          <w:tcPr>
            <w:tcW w:w="2163" w:type="dxa"/>
          </w:tcPr>
          <w:p w14:paraId="61BBC938" w14:textId="50DCE08A" w:rsidR="00D97118" w:rsidRDefault="00D97118" w:rsidP="00D97118">
            <w:pPr>
              <w:spacing w:before="60" w:after="120" w:line="240" w:lineRule="auto"/>
              <w:ind w:right="22"/>
              <w:jc w:val="left"/>
              <w:rPr>
                <w:rFonts w:eastAsia="MS Mincho"/>
                <w:szCs w:val="24"/>
                <w:lang w:val="en-ID" w:eastAsia="en-US"/>
              </w:rPr>
            </w:pPr>
            <w:r>
              <w:t>90,4 ± 8,9</w:t>
            </w:r>
          </w:p>
        </w:tc>
        <w:tc>
          <w:tcPr>
            <w:cnfStyle w:val="000100000000" w:firstRow="0" w:lastRow="0" w:firstColumn="0" w:lastColumn="1" w:oddVBand="0" w:evenVBand="0" w:oddHBand="0" w:evenHBand="0" w:firstRowFirstColumn="0" w:firstRowLastColumn="0" w:lastRowFirstColumn="0" w:lastRowLastColumn="0"/>
            <w:tcW w:w="2163" w:type="dxa"/>
          </w:tcPr>
          <w:p w14:paraId="7C235FA7" w14:textId="13D0FB3F" w:rsidR="00D97118" w:rsidRDefault="00D97118" w:rsidP="00D97118">
            <w:pPr>
              <w:spacing w:before="60" w:after="120" w:line="240" w:lineRule="auto"/>
              <w:ind w:right="22"/>
              <w:jc w:val="left"/>
              <w:rPr>
                <w:rFonts w:eastAsia="MS Mincho"/>
                <w:szCs w:val="24"/>
                <w:lang w:val="en-ID" w:eastAsia="en-US"/>
              </w:rPr>
            </w:pPr>
            <w:r w:rsidRPr="00D97118">
              <w:rPr>
                <w:rFonts w:eastAsia="MS Mincho"/>
                <w:szCs w:val="24"/>
                <w:lang w:eastAsia="en-US"/>
              </w:rPr>
              <w:t>0,038</w:t>
            </w:r>
          </w:p>
        </w:tc>
      </w:tr>
      <w:tr w:rsidR="00D97118" w14:paraId="10A10179" w14:textId="77777777" w:rsidTr="008D5A3E">
        <w:tc>
          <w:tcPr>
            <w:tcW w:w="2162" w:type="dxa"/>
          </w:tcPr>
          <w:p w14:paraId="11B42E62" w14:textId="541BF839" w:rsidR="00D97118" w:rsidRDefault="00D97118" w:rsidP="00D97118">
            <w:pPr>
              <w:spacing w:before="60" w:after="120" w:line="240" w:lineRule="auto"/>
              <w:ind w:right="22"/>
              <w:jc w:val="left"/>
              <w:rPr>
                <w:rFonts w:eastAsia="MS Mincho"/>
                <w:szCs w:val="24"/>
                <w:lang w:val="en-ID" w:eastAsia="en-US"/>
              </w:rPr>
            </w:pPr>
            <w:r w:rsidRPr="00D97118">
              <w:rPr>
                <w:rFonts w:eastAsia="MS Mincho"/>
                <w:szCs w:val="24"/>
                <w:lang w:eastAsia="en-US"/>
              </w:rPr>
              <w:t>Perempuan</w:t>
            </w:r>
          </w:p>
        </w:tc>
        <w:tc>
          <w:tcPr>
            <w:tcW w:w="2162" w:type="dxa"/>
          </w:tcPr>
          <w:p w14:paraId="48641063" w14:textId="41EA0366" w:rsidR="00D97118" w:rsidRDefault="00D97118" w:rsidP="00D97118">
            <w:pPr>
              <w:spacing w:before="60" w:after="120" w:line="240" w:lineRule="auto"/>
              <w:ind w:right="22"/>
              <w:jc w:val="left"/>
              <w:rPr>
                <w:rFonts w:eastAsia="MS Mincho"/>
                <w:szCs w:val="24"/>
                <w:lang w:val="en-ID" w:eastAsia="en-US"/>
              </w:rPr>
            </w:pPr>
            <w:r>
              <w:rPr>
                <w:rFonts w:eastAsia="MS Mincho"/>
                <w:szCs w:val="24"/>
                <w:lang w:val="en-ID" w:eastAsia="en-US"/>
              </w:rPr>
              <w:t>58</w:t>
            </w:r>
          </w:p>
        </w:tc>
        <w:tc>
          <w:tcPr>
            <w:tcW w:w="2163" w:type="dxa"/>
          </w:tcPr>
          <w:p w14:paraId="41D574F1" w14:textId="7082D8B4" w:rsidR="00D97118" w:rsidRDefault="00D97118" w:rsidP="00D97118">
            <w:pPr>
              <w:spacing w:before="60" w:after="120" w:line="240" w:lineRule="auto"/>
              <w:ind w:right="22"/>
              <w:jc w:val="left"/>
              <w:rPr>
                <w:rFonts w:eastAsia="MS Mincho"/>
                <w:szCs w:val="24"/>
                <w:lang w:val="en-ID" w:eastAsia="en-US"/>
              </w:rPr>
            </w:pPr>
            <w:r w:rsidRPr="00D97118">
              <w:rPr>
                <w:rFonts w:eastAsia="MS Mincho"/>
                <w:szCs w:val="24"/>
                <w:lang w:eastAsia="en-US"/>
              </w:rPr>
              <w:t>86,5 ± 9,4</w:t>
            </w:r>
          </w:p>
        </w:tc>
        <w:tc>
          <w:tcPr>
            <w:cnfStyle w:val="000100000000" w:firstRow="0" w:lastRow="0" w:firstColumn="0" w:lastColumn="1" w:oddVBand="0" w:evenVBand="0" w:oddHBand="0" w:evenHBand="0" w:firstRowFirstColumn="0" w:firstRowLastColumn="0" w:lastRowFirstColumn="0" w:lastRowLastColumn="0"/>
            <w:tcW w:w="2163" w:type="dxa"/>
          </w:tcPr>
          <w:p w14:paraId="34F40643" w14:textId="457BF5F8" w:rsidR="00D97118" w:rsidRDefault="00D97118" w:rsidP="00D97118">
            <w:pPr>
              <w:spacing w:before="60" w:after="120" w:line="240" w:lineRule="auto"/>
              <w:ind w:right="22"/>
              <w:jc w:val="left"/>
              <w:rPr>
                <w:rFonts w:eastAsia="MS Mincho"/>
                <w:szCs w:val="24"/>
                <w:lang w:val="en-ID" w:eastAsia="en-US"/>
              </w:rPr>
            </w:pPr>
            <w:r>
              <w:rPr>
                <w:rFonts w:eastAsia="MS Mincho"/>
                <w:szCs w:val="24"/>
                <w:lang w:val="en-ID" w:eastAsia="en-US"/>
              </w:rPr>
              <w:t>-</w:t>
            </w:r>
          </w:p>
        </w:tc>
      </w:tr>
    </w:tbl>
    <w:p w14:paraId="4C77228E" w14:textId="77777777" w:rsidR="008D5A3E" w:rsidRPr="008D5A3E" w:rsidRDefault="008D5A3E" w:rsidP="008D5A3E">
      <w:pPr>
        <w:spacing w:before="60" w:after="120" w:line="240" w:lineRule="auto"/>
        <w:ind w:left="360" w:right="22"/>
        <w:jc w:val="left"/>
        <w:rPr>
          <w:rFonts w:eastAsia="MS Mincho"/>
          <w:szCs w:val="24"/>
          <w:lang w:val="en-ID" w:eastAsia="en-US"/>
        </w:rPr>
      </w:pPr>
      <w:r w:rsidRPr="008D5A3E">
        <w:rPr>
          <w:rFonts w:eastAsia="MS Mincho"/>
          <w:szCs w:val="24"/>
          <w:lang w:val="en-ID" w:eastAsia="en-US"/>
        </w:rPr>
        <w:t xml:space="preserve">Uji </w:t>
      </w:r>
      <w:r w:rsidRPr="008D5A3E">
        <w:rPr>
          <w:rFonts w:eastAsia="MS Mincho"/>
          <w:i/>
          <w:iCs/>
          <w:szCs w:val="24"/>
          <w:lang w:val="en-ID" w:eastAsia="en-US"/>
        </w:rPr>
        <w:t>t</w:t>
      </w:r>
      <w:r w:rsidRPr="008D5A3E">
        <w:rPr>
          <w:rFonts w:eastAsia="MS Mincho"/>
          <w:szCs w:val="24"/>
          <w:lang w:val="en-ID" w:eastAsia="en-US"/>
        </w:rPr>
        <w:t xml:space="preserve"> menunjukkan </w:t>
      </w:r>
      <w:r w:rsidRPr="008D5A3E">
        <w:rPr>
          <w:rFonts w:eastAsia="MS Mincho"/>
          <w:b/>
          <w:bCs/>
          <w:szCs w:val="24"/>
          <w:lang w:val="en-ID" w:eastAsia="en-US"/>
        </w:rPr>
        <w:t>perbedaan signifikan (p = 0,038)</w:t>
      </w:r>
      <w:r w:rsidRPr="008D5A3E">
        <w:rPr>
          <w:rFonts w:eastAsia="MS Mincho"/>
          <w:szCs w:val="24"/>
          <w:lang w:val="en-ID" w:eastAsia="en-US"/>
        </w:rPr>
        <w:t xml:space="preserve"> antara siswa laki-laki dan perempuan, di mana siswa laki-laki memiliki skor GMQ lebih tinggi. Namun, ketika dikontrol berdasarkan keaktifan ekstrakurikuler, perbedaan jenis kelamin menjadi kurang signifikan, menunjukkan bahwa </w:t>
      </w:r>
      <w:r w:rsidRPr="008D5A3E">
        <w:rPr>
          <w:rFonts w:eastAsia="MS Mincho"/>
          <w:b/>
          <w:bCs/>
          <w:szCs w:val="24"/>
          <w:lang w:val="en-ID" w:eastAsia="en-US"/>
        </w:rPr>
        <w:t>partisipasi aktivitas fisik lebih berpengaruh dibanding jenis kelamin</w:t>
      </w:r>
      <w:r w:rsidRPr="008D5A3E">
        <w:rPr>
          <w:rFonts w:eastAsia="MS Mincho"/>
          <w:szCs w:val="24"/>
          <w:lang w:val="en-ID" w:eastAsia="en-US"/>
        </w:rPr>
        <w:t xml:space="preserve"> terhadap keterampilan motorik kasar.</w:t>
      </w:r>
    </w:p>
    <w:p w14:paraId="11757F06" w14:textId="77777777" w:rsidR="008D5A3E" w:rsidRPr="008D5A3E" w:rsidRDefault="008D5A3E" w:rsidP="008D5A3E">
      <w:pPr>
        <w:spacing w:before="60" w:after="120" w:line="240" w:lineRule="auto"/>
        <w:ind w:left="360" w:right="22"/>
        <w:jc w:val="left"/>
        <w:rPr>
          <w:rFonts w:eastAsia="MS Mincho"/>
          <w:b/>
          <w:bCs/>
          <w:szCs w:val="24"/>
          <w:lang w:val="en-ID" w:eastAsia="en-US"/>
        </w:rPr>
      </w:pPr>
      <w:r w:rsidRPr="008D5A3E">
        <w:rPr>
          <w:rFonts w:eastAsia="MS Mincho"/>
          <w:b/>
          <w:bCs/>
          <w:szCs w:val="24"/>
          <w:lang w:val="en-ID" w:eastAsia="en-US"/>
        </w:rPr>
        <w:t>4. Ringkasan Uji Statistik</w:t>
      </w:r>
    </w:p>
    <w:p w14:paraId="6396D00F" w14:textId="77777777" w:rsidR="008D5A3E" w:rsidRPr="008D5A3E" w:rsidRDefault="008D5A3E" w:rsidP="008D5A3E">
      <w:pPr>
        <w:spacing w:before="60" w:after="120" w:line="240" w:lineRule="auto"/>
        <w:ind w:left="360" w:right="22"/>
        <w:jc w:val="left"/>
        <w:rPr>
          <w:rFonts w:eastAsia="MS Mincho"/>
          <w:szCs w:val="24"/>
          <w:lang w:val="en-ID" w:eastAsia="en-US"/>
        </w:rPr>
      </w:pPr>
      <w:r w:rsidRPr="008D5A3E">
        <w:rPr>
          <w:rFonts w:eastAsia="MS Mincho"/>
          <w:szCs w:val="24"/>
          <w:lang w:val="en-ID" w:eastAsia="en-US"/>
        </w:rPr>
        <w:t>Hasil analisis menunjukkan:</w:t>
      </w:r>
    </w:p>
    <w:p w14:paraId="2BB8C936" w14:textId="77777777" w:rsidR="008D5A3E" w:rsidRPr="008D5A3E" w:rsidRDefault="008D5A3E" w:rsidP="008D5A3E">
      <w:pPr>
        <w:numPr>
          <w:ilvl w:val="0"/>
          <w:numId w:val="13"/>
        </w:numPr>
        <w:spacing w:before="60" w:after="120" w:line="240" w:lineRule="auto"/>
        <w:ind w:right="22"/>
        <w:jc w:val="left"/>
        <w:rPr>
          <w:rFonts w:eastAsia="MS Mincho"/>
          <w:szCs w:val="24"/>
          <w:lang w:val="en-ID" w:eastAsia="en-US"/>
        </w:rPr>
      </w:pPr>
      <w:r w:rsidRPr="008D5A3E">
        <w:rPr>
          <w:rFonts w:eastAsia="MS Mincho"/>
          <w:szCs w:val="24"/>
          <w:lang w:val="en-ID" w:eastAsia="en-US"/>
        </w:rPr>
        <w:t>Data terdistribusi normal (</w:t>
      </w:r>
      <w:r w:rsidRPr="00F95EA7">
        <w:rPr>
          <w:rFonts w:eastAsia="MS Mincho"/>
          <w:i/>
          <w:iCs/>
          <w:szCs w:val="24"/>
          <w:lang w:val="en-ID" w:eastAsia="en-US"/>
        </w:rPr>
        <w:t>Shapiro-Wilk p</w:t>
      </w:r>
      <w:r w:rsidRPr="008D5A3E">
        <w:rPr>
          <w:rFonts w:eastAsia="MS Mincho"/>
          <w:szCs w:val="24"/>
          <w:lang w:val="en-ID" w:eastAsia="en-US"/>
        </w:rPr>
        <w:t xml:space="preserve"> &gt; 0,05) dan homogen (</w:t>
      </w:r>
      <w:r w:rsidRPr="00F95EA7">
        <w:rPr>
          <w:rFonts w:eastAsia="MS Mincho"/>
          <w:i/>
          <w:iCs/>
          <w:szCs w:val="24"/>
          <w:lang w:val="en-ID" w:eastAsia="en-US"/>
        </w:rPr>
        <w:t>Levene p</w:t>
      </w:r>
      <w:r w:rsidRPr="008D5A3E">
        <w:rPr>
          <w:rFonts w:eastAsia="MS Mincho"/>
          <w:szCs w:val="24"/>
          <w:lang w:val="en-ID" w:eastAsia="en-US"/>
        </w:rPr>
        <w:t xml:space="preserve"> = 0,212).</w:t>
      </w:r>
    </w:p>
    <w:p w14:paraId="6B0BD676" w14:textId="77777777" w:rsidR="008D5A3E" w:rsidRPr="008D5A3E" w:rsidRDefault="008D5A3E" w:rsidP="008D5A3E">
      <w:pPr>
        <w:numPr>
          <w:ilvl w:val="0"/>
          <w:numId w:val="13"/>
        </w:numPr>
        <w:spacing w:before="60" w:after="120" w:line="240" w:lineRule="auto"/>
        <w:ind w:right="22"/>
        <w:jc w:val="left"/>
        <w:rPr>
          <w:rFonts w:eastAsia="MS Mincho"/>
          <w:szCs w:val="24"/>
          <w:lang w:val="en-ID" w:eastAsia="en-US"/>
        </w:rPr>
      </w:pPr>
      <w:r w:rsidRPr="00F95EA7">
        <w:rPr>
          <w:rFonts w:eastAsia="MS Mincho"/>
          <w:i/>
          <w:iCs/>
          <w:szCs w:val="24"/>
          <w:lang w:val="en-ID" w:eastAsia="en-US"/>
        </w:rPr>
        <w:t>Uji t independen</w:t>
      </w:r>
      <w:r w:rsidRPr="008D5A3E">
        <w:rPr>
          <w:rFonts w:eastAsia="MS Mincho"/>
          <w:szCs w:val="24"/>
          <w:lang w:val="en-ID" w:eastAsia="en-US"/>
        </w:rPr>
        <w:t xml:space="preserve"> menunjukkan perbedaan signifikan GMQ antara kedua kelompok (t = 5,92; df = 121; p &lt; 0,001).</w:t>
      </w:r>
    </w:p>
    <w:p w14:paraId="402F4F66" w14:textId="77777777" w:rsidR="008D5A3E" w:rsidRPr="008D5A3E" w:rsidRDefault="008D5A3E" w:rsidP="008D5A3E">
      <w:pPr>
        <w:numPr>
          <w:ilvl w:val="0"/>
          <w:numId w:val="13"/>
        </w:numPr>
        <w:spacing w:before="60" w:after="120" w:line="240" w:lineRule="auto"/>
        <w:ind w:right="22"/>
        <w:jc w:val="left"/>
        <w:rPr>
          <w:rFonts w:eastAsia="MS Mincho"/>
          <w:szCs w:val="24"/>
          <w:lang w:val="en-ID" w:eastAsia="en-US"/>
        </w:rPr>
      </w:pPr>
      <w:r w:rsidRPr="008D5A3E">
        <w:rPr>
          <w:rFonts w:eastAsia="MS Mincho"/>
          <w:b/>
          <w:bCs/>
          <w:szCs w:val="24"/>
          <w:lang w:val="en-ID" w:eastAsia="en-US"/>
        </w:rPr>
        <w:t>Ukuran efek (</w:t>
      </w:r>
      <w:r w:rsidRPr="00F95EA7">
        <w:rPr>
          <w:rFonts w:eastAsia="MS Mincho"/>
          <w:b/>
          <w:bCs/>
          <w:i/>
          <w:iCs/>
          <w:szCs w:val="24"/>
          <w:lang w:val="en-ID" w:eastAsia="en-US"/>
        </w:rPr>
        <w:t>Cohen’s d</w:t>
      </w:r>
      <w:r w:rsidRPr="008D5A3E">
        <w:rPr>
          <w:rFonts w:eastAsia="MS Mincho"/>
          <w:b/>
          <w:bCs/>
          <w:szCs w:val="24"/>
          <w:lang w:val="en-ID" w:eastAsia="en-US"/>
        </w:rPr>
        <w:t xml:space="preserve"> = 1,00)</w:t>
      </w:r>
      <w:r w:rsidRPr="008D5A3E">
        <w:rPr>
          <w:rFonts w:eastAsia="MS Mincho"/>
          <w:szCs w:val="24"/>
          <w:lang w:val="en-ID" w:eastAsia="en-US"/>
        </w:rPr>
        <w:t xml:space="preserve"> menunjukkan perbedaan besar </w:t>
      </w:r>
      <w:r w:rsidRPr="00F95EA7">
        <w:rPr>
          <w:rFonts w:eastAsia="MS Mincho"/>
          <w:i/>
          <w:iCs/>
          <w:szCs w:val="24"/>
          <w:lang w:val="en-ID" w:eastAsia="en-US"/>
        </w:rPr>
        <w:t>(large effect size)</w:t>
      </w:r>
      <w:r w:rsidRPr="008D5A3E">
        <w:rPr>
          <w:rFonts w:eastAsia="MS Mincho"/>
          <w:szCs w:val="24"/>
          <w:lang w:val="en-ID" w:eastAsia="en-US"/>
        </w:rPr>
        <w:t>.</w:t>
      </w:r>
    </w:p>
    <w:p w14:paraId="7205D07F" w14:textId="77777777" w:rsidR="008D5A3E" w:rsidRPr="008D5A3E" w:rsidRDefault="008D5A3E" w:rsidP="008D5A3E">
      <w:pPr>
        <w:spacing w:before="60" w:after="120" w:line="240" w:lineRule="auto"/>
        <w:ind w:left="360" w:right="22"/>
        <w:jc w:val="left"/>
        <w:rPr>
          <w:rFonts w:eastAsia="MS Mincho"/>
          <w:szCs w:val="24"/>
          <w:lang w:val="en-ID" w:eastAsia="en-US"/>
        </w:rPr>
      </w:pPr>
      <w:r w:rsidRPr="008D5A3E">
        <w:rPr>
          <w:rFonts w:eastAsia="MS Mincho"/>
          <w:szCs w:val="24"/>
          <w:lang w:val="en-ID" w:eastAsia="en-US"/>
        </w:rPr>
        <w:t xml:space="preserve">Dengan demikian, </w:t>
      </w:r>
      <w:r w:rsidRPr="008D5A3E">
        <w:rPr>
          <w:rFonts w:eastAsia="MS Mincho"/>
          <w:b/>
          <w:bCs/>
          <w:szCs w:val="24"/>
          <w:lang w:val="en-ID" w:eastAsia="en-US"/>
        </w:rPr>
        <w:t>hipotesis penelitian diterima</w:t>
      </w:r>
      <w:r w:rsidRPr="008D5A3E">
        <w:rPr>
          <w:rFonts w:eastAsia="MS Mincho"/>
          <w:szCs w:val="24"/>
          <w:lang w:val="en-ID" w:eastAsia="en-US"/>
        </w:rPr>
        <w:t>, yaitu terdapat perbedaan yang signifikan dalam tingkat keterampilan motorik kasar antara siswa yang aktif mengikuti ekstrakurikuler olahraga dan yang tidak.</w:t>
      </w:r>
    </w:p>
    <w:p w14:paraId="004F7010" w14:textId="77777777" w:rsidR="00D97118" w:rsidRPr="00D97118" w:rsidRDefault="00D97118" w:rsidP="00D97118">
      <w:pPr>
        <w:spacing w:before="60" w:after="120" w:line="240" w:lineRule="auto"/>
        <w:ind w:left="360" w:right="22"/>
        <w:jc w:val="left"/>
        <w:rPr>
          <w:rFonts w:eastAsia="MS Mincho"/>
          <w:szCs w:val="24"/>
          <w:lang w:val="en-ID" w:eastAsia="en-US"/>
        </w:rPr>
      </w:pPr>
    </w:p>
    <w:p w14:paraId="4C82325E" w14:textId="5E396F2E" w:rsidR="00FC22F0" w:rsidRPr="00FC2828" w:rsidRDefault="00E949D6" w:rsidP="00FC22F0">
      <w:pPr>
        <w:spacing w:before="60" w:after="120" w:line="240" w:lineRule="auto"/>
        <w:ind w:right="22"/>
        <w:rPr>
          <w:b/>
          <w:noProof/>
          <w:szCs w:val="24"/>
          <w:lang w:val="id-ID"/>
        </w:rPr>
      </w:pPr>
      <w:r w:rsidRPr="00FC2828">
        <w:rPr>
          <w:b/>
          <w:noProof/>
          <w:szCs w:val="24"/>
          <w:lang w:val="id-ID"/>
        </w:rPr>
        <w:t>PEMBAHASAN</w:t>
      </w:r>
    </w:p>
    <w:p w14:paraId="343F8DA4"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1. Pengaruh Aktivitas Ekstrakurikuler terhadap Motorik Kasar</w:t>
      </w:r>
    </w:p>
    <w:p w14:paraId="0529A9F1" w14:textId="7A326C03" w:rsidR="008D5A3E" w:rsidRPr="008D5A3E" w:rsidRDefault="008D5A3E" w:rsidP="008D5A3E">
      <w:pPr>
        <w:spacing w:before="60" w:after="120" w:line="240" w:lineRule="auto"/>
        <w:jc w:val="left"/>
        <w:rPr>
          <w:bCs/>
          <w:noProof/>
          <w:szCs w:val="24"/>
          <w:lang w:val="en-ID"/>
        </w:rPr>
      </w:pPr>
      <w:r w:rsidRPr="008D5A3E">
        <w:rPr>
          <w:bCs/>
          <w:noProof/>
          <w:szCs w:val="24"/>
          <w:lang w:val="en-ID"/>
        </w:rPr>
        <w:t xml:space="preserve">Hasil penelitian menunjukkan bahwa siswa yang aktif mengikuti ekstrakurikuler olahraga memiliki skor TGMD-2 secara signifikan lebih tinggi dibandingkan dengan siswa yang tidak aktif. Hal ini mendukung temuan </w:t>
      </w:r>
      <w:r w:rsidR="006159BD">
        <w:rPr>
          <w:bCs/>
          <w:noProof/>
          <w:szCs w:val="24"/>
          <w:lang w:val="en-ID"/>
        </w:rPr>
        <w:fldChar w:fldCharType="begin" w:fldLock="1"/>
      </w:r>
      <w:r w:rsidR="00B62A6C">
        <w:rPr>
          <w:bCs/>
          <w:noProof/>
          <w:szCs w:val="24"/>
          <w:lang w:val="en-ID"/>
        </w:rPr>
        <w:instrText>ADDIN CSL_CITATION {"citationItems":[{"id":"ITEM-1","itemData":{"DOI":"10.2478/bhk-2019-0019","ISSN":"20802234","abstract":"Study aim: The aim of the study was to investigate the changes in gross motor skills in children participating and not participating in a project of extracurricular physical education classes in primary schools called \"From fun to sport\". Material and methods: Thirty-one children in the first grade of primary school participated in the study (16 boys and 15 girls). A pedagogical quasi-experiment was applied. Children from the experimental group participated in an additional 45-minute lesson. To assess gross motor skills the TGMD-2 (Test of Gross Motor Development-2) was used. Results: Statistically significant differences were observed in the level of gross motor skills between children attending extracurricular physical education classes and those who did not participate in such activities (GMDQ: Δboys = 11.86, p = 0.032; Δgirls = 13.1, p = 0.036). Conclusion: The experiment revealed large effects of additional activities of the project on increase of children's motor skills level. Additional time should be included in physical education for the development of gross motor skills in physical education classes at the initial stage of school education.","author":[{"dropping-particle":"","family":"Skowroński","given":"Waldemar","non-dropping-particle":"","parse-names":false,"suffix":""},{"dropping-particle":"","family":"Skowrońska","given":"Marianna","non-dropping-particle":"","parse-names":false,"suffix":""},{"dropping-particle":"","family":"Rutkowska","given":"Izabela","non-dropping-particle":"","parse-names":false,"suffix":""},{"dropping-particle":"","family":"Bednarczuk","given":"Grzegorz","non-dropping-particle":"","parse-names":false,"suffix":""},{"dropping-particle":"","family":"Kaźmierska-Kowalewska","given":"Kalina Maria","non-dropping-particle":"","parse-names":false,"suffix":""},{"dropping-particle":"","family":"Marszałek","given":"Jolanta","non-dropping-particle":"","parse-names":false,"suffix":""}],"container-title":"Biomedical Human Kinetics","id":"ITEM-1","issue":"1","issued":{"date-parts":[["2019"]]},"page":"136-143","title":"The effects of extracurricular physical education classes on gross motor development in primary school children - pilot study","type":"article-journal","volume":"11"},"uris":["http://www.mendeley.com/documents/?uuid=06f39bcf-fc61-4155-aa4c-c4d2aa26bde6"]}],"mendeley":{"formattedCitation":"(Skowroński et al., 2019)","plainTextFormattedCitation":"(Skowroński et al., 2019)","previouslyFormattedCitation":"(Skowroński et al., 2019)"},"properties":{"noteIndex":0},"schema":"https://github.com/citation-style-language/schema/raw/master/csl-citation.json"}</w:instrText>
      </w:r>
      <w:r w:rsidR="006159BD">
        <w:rPr>
          <w:bCs/>
          <w:noProof/>
          <w:szCs w:val="24"/>
          <w:lang w:val="en-ID"/>
        </w:rPr>
        <w:fldChar w:fldCharType="separate"/>
      </w:r>
      <w:r w:rsidR="006159BD" w:rsidRPr="006159BD">
        <w:rPr>
          <w:bCs/>
          <w:noProof/>
          <w:szCs w:val="24"/>
          <w:lang w:val="en-ID"/>
        </w:rPr>
        <w:t>(Skowroński et al., 2019)</w:t>
      </w:r>
      <w:r w:rsidR="006159BD">
        <w:rPr>
          <w:bCs/>
          <w:noProof/>
          <w:szCs w:val="24"/>
          <w:lang w:val="en-ID"/>
        </w:rPr>
        <w:fldChar w:fldCharType="end"/>
      </w:r>
      <w:r w:rsidR="006159BD">
        <w:rPr>
          <w:bCs/>
          <w:noProof/>
          <w:szCs w:val="24"/>
          <w:lang w:val="en-ID"/>
        </w:rPr>
        <w:t>.</w:t>
      </w:r>
      <w:r w:rsidRPr="008D5A3E">
        <w:rPr>
          <w:bCs/>
          <w:noProof/>
          <w:szCs w:val="24"/>
          <w:lang w:val="en-ID"/>
        </w:rPr>
        <w:t xml:space="preserve"> bahwa keterlibatan dalam </w:t>
      </w:r>
      <w:r w:rsidRPr="008D5A3E">
        <w:rPr>
          <w:bCs/>
          <w:noProof/>
          <w:szCs w:val="24"/>
          <w:lang w:val="en-ID"/>
        </w:rPr>
        <w:lastRenderedPageBreak/>
        <w:t>kegiatan olahraga di luar jam pelajaran berkontribusi terhadap peningkatan kemampuan koordinasi gerak dasar anak usia sekolah. Aktivitas fisik yang rutin memungkinkan anak untuk melatih pola gerak dasar berulang, memperkuat otot besar, meningkatkan koordinasi neuromuskular, serta memperbaiki kontrol postur tubuh.</w:t>
      </w:r>
    </w:p>
    <w:p w14:paraId="2A694277" w14:textId="77777777" w:rsidR="008D5A3E" w:rsidRPr="008D5A3E" w:rsidRDefault="008D5A3E" w:rsidP="008D5A3E">
      <w:pPr>
        <w:spacing w:before="60" w:after="120" w:line="240" w:lineRule="auto"/>
        <w:jc w:val="left"/>
        <w:rPr>
          <w:bCs/>
          <w:noProof/>
          <w:szCs w:val="24"/>
          <w:lang w:val="en-ID"/>
        </w:rPr>
      </w:pPr>
      <w:r w:rsidRPr="008D5A3E">
        <w:rPr>
          <w:bCs/>
          <w:noProof/>
          <w:szCs w:val="24"/>
          <w:lang w:val="en-ID"/>
        </w:rPr>
        <w:t xml:space="preserve">Menurut </w:t>
      </w:r>
      <w:r w:rsidRPr="008D5A3E">
        <w:rPr>
          <w:b/>
          <w:bCs/>
          <w:noProof/>
          <w:szCs w:val="24"/>
          <w:lang w:val="en-ID"/>
        </w:rPr>
        <w:t>Ulrich (2000)</w:t>
      </w:r>
      <w:r w:rsidRPr="008D5A3E">
        <w:rPr>
          <w:bCs/>
          <w:noProof/>
          <w:szCs w:val="24"/>
          <w:lang w:val="en-ID"/>
        </w:rPr>
        <w:t>, keterampilan motorik kasar berkembang optimal bila anak diberikan stimulasi gerak terstruktur dan kesempatan latihan yang konsisten. Ekstrakurikuler olahraga di sekolah memberikan lingkungan yang kondusif untuk hal ini.</w:t>
      </w:r>
    </w:p>
    <w:p w14:paraId="2327A6C0"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2. Perbandingan dengan Penelitian Sebelumnya</w:t>
      </w:r>
    </w:p>
    <w:p w14:paraId="4334CD38" w14:textId="311AAAE5" w:rsidR="008D5A3E" w:rsidRPr="008D5A3E" w:rsidRDefault="008D5A3E" w:rsidP="008D5A3E">
      <w:pPr>
        <w:spacing w:before="60" w:after="120" w:line="240" w:lineRule="auto"/>
        <w:jc w:val="left"/>
        <w:rPr>
          <w:bCs/>
          <w:noProof/>
          <w:szCs w:val="24"/>
          <w:lang w:val="en-ID"/>
        </w:rPr>
      </w:pPr>
      <w:r w:rsidRPr="008D5A3E">
        <w:rPr>
          <w:bCs/>
          <w:noProof/>
          <w:szCs w:val="24"/>
          <w:lang w:val="en-ID"/>
        </w:rPr>
        <w:t xml:space="preserve">Hasil ini sejalan dengan </w:t>
      </w:r>
      <w:r w:rsidR="00B62A6C">
        <w:rPr>
          <w:b/>
          <w:bCs/>
          <w:noProof/>
          <w:szCs w:val="24"/>
          <w:lang w:val="en-ID"/>
        </w:rPr>
        <w:fldChar w:fldCharType="begin" w:fldLock="1"/>
      </w:r>
      <w:r w:rsidR="00E929F6">
        <w:rPr>
          <w:b/>
          <w:bCs/>
          <w:noProof/>
          <w:szCs w:val="24"/>
          <w:lang w:val="en-ID"/>
        </w:rPr>
        <w:instrText>ADDIN CSL_CITATION {"citationItems":[{"id":"ITEM-1","itemData":{"DOI":"10.7251/SSH2402179P","ISSN":"2232822X","abstract":"This study aims to establish differences in anthropometric characteristics and motor-basic skills between children who actively engage in sports outside of regular learning activities and those who are inactive. The study included 100 male children aged 12 years, from elementary school “TREPÇA” in Istog. Fifty of them are actively involved in different sports, while the other fifty are not active besides the school PE classes. The methods used to achieve the objectives of this study include descriptive statistical methods (measures of central tendency, distribution, and correlations), as well as the T-test method to confirm differences between the groups. The results were analysed using SPSS 20.0 software. In the anthro-pometric domain, statistically significant changes are observed in all variables except for thigh circumference, and these changes favour active children. Similarly, there are statistically significant changes in motor skills in all variables, except for the variable of standing long jump, again in favour of active children. Based on the anthropometric parameters, it can be concluded that the biological development and growth of these children are normal for their age. The distribution of results in anthropometric and motoric variables is normal, with slight asymmetry and predominantly positive values. After analyzing the results, it is clear that statistically significant changes were observed in most of the assessments conducted in this study. In the anthropometric domain, significant statistical differences were found in all variables except arm span. Likewise, in the basic motor skills domain, the active student group consistently outperformed their inactive peers in all tests, indicating higher proficiency levels among the active cohort.","author":[{"dropping-particle":"","family":"Pireva","given":"Fatmir","non-dropping-particle":"","parse-names":false,"suffix":""},{"dropping-particle":"","family":"Vehapi","given":"Shemsedin","non-dropping-particle":"","parse-names":false,"suffix":""},{"dropping-particle":"","family":"Pireva","given":"Ardita","non-dropping-particle":"","parse-names":false,"suffix":""}],"container-title":"Sportske Nauke i Zdravlje","id":"ITEM-1","issue":"2","issued":{"date-parts":[["2024"]]},"page":"179-183","title":"The Impact of Extracurricular Physical Activities on the Development of Motor Skills and anthropometric characteristics in 12 Year School Children","type":"article-journal","volume":"14"},"uris":["http://www.mendeley.com/documents/?uuid=0079a429-3356-413a-bd77-772f566d15d2"]}],"mendeley":{"formattedCitation":"(Pireva et al., 2024)","plainTextFormattedCitation":"(Pireva et al., 2024)","previouslyFormattedCitation":"(Pireva et al., 2024)"},"properties":{"noteIndex":0},"schema":"https://github.com/citation-style-language/schema/raw/master/csl-citation.json"}</w:instrText>
      </w:r>
      <w:r w:rsidR="00B62A6C">
        <w:rPr>
          <w:b/>
          <w:bCs/>
          <w:noProof/>
          <w:szCs w:val="24"/>
          <w:lang w:val="en-ID"/>
        </w:rPr>
        <w:fldChar w:fldCharType="separate"/>
      </w:r>
      <w:r w:rsidR="00B62A6C" w:rsidRPr="00B62A6C">
        <w:rPr>
          <w:bCs/>
          <w:noProof/>
          <w:szCs w:val="24"/>
          <w:lang w:val="en-ID"/>
        </w:rPr>
        <w:t>(Pireva et al., 2024)</w:t>
      </w:r>
      <w:r w:rsidR="00B62A6C">
        <w:rPr>
          <w:b/>
          <w:bCs/>
          <w:noProof/>
          <w:szCs w:val="24"/>
          <w:lang w:val="en-ID"/>
        </w:rPr>
        <w:fldChar w:fldCharType="end"/>
      </w:r>
      <w:r w:rsidR="00B62A6C">
        <w:rPr>
          <w:b/>
          <w:bCs/>
          <w:noProof/>
          <w:szCs w:val="24"/>
          <w:lang w:val="en-ID"/>
        </w:rPr>
        <w:t xml:space="preserve"> </w:t>
      </w:r>
      <w:r w:rsidRPr="008D5A3E">
        <w:rPr>
          <w:bCs/>
          <w:noProof/>
          <w:szCs w:val="24"/>
          <w:lang w:val="en-ID"/>
        </w:rPr>
        <w:t xml:space="preserve">yang meneliti 12-tahun di Kosovo dan menemukan bahwa anak yang aktif mengikuti kegiatan olahraga memiliki skor TGMD-2 lebih tinggi (p &lt; 0,01) </w:t>
      </w:r>
      <w:r w:rsidR="00B62A6C">
        <w:rPr>
          <w:bCs/>
          <w:noProof/>
          <w:szCs w:val="24"/>
          <w:lang w:val="en-ID"/>
        </w:rPr>
        <w:fldChar w:fldCharType="begin" w:fldLock="1"/>
      </w:r>
      <w:r w:rsidR="00B62A6C">
        <w:rPr>
          <w:bCs/>
          <w:noProof/>
          <w:szCs w:val="24"/>
          <w:lang w:val="en-ID"/>
        </w:rPr>
        <w:instrText>ADDIN CSL_CITATION {"citationItems":[{"id":"ITEM-1","itemData":{"ISSN":"2986-8831","abstract":"Motor assessment tests are widely used in many countries, including the Gross Motor Development Test 2 (TGMD-2). TGMD-2 is the most frequently used test to measure children's gross motor development in many countries. The purpose of this research is to be investigated whether TGMD-2 is suitable for measuring gross motor development in Surakarta boys aged 7-10 years. The participants involved in this study were 355 boys aged between 7-10 years, who attended state elementary school. Construct validity was calculated by Exploratory Factor Analysis, and reliability by Cronbach's Alpha. The result of the calculation is average Keyser-Meyer-Olkin (KMO) value is 0.837. This figure indicates that TGMD-2 is good for confirmation purposes. While the reliability is 0.743, categorized as medium. In conclusion, thus it can be concluded that TGMD-2 can used to assess gross motor development of the studied population. ARTICLE HISTORY","author":[{"dropping-particle":"","family":"Wijanarko","given":"Bambang","non-dropping-particle":"","parse-names":false,"suffix":""},{"dropping-particle":"","family":"Nuryadin","given":"Islahuzzaman","non-dropping-particle":"","parse-names":false,"suffix":""},{"dropping-particle":"","family":"Iqbal Doewes","given":"Rumi","non-dropping-particle":"","parse-names":false,"suffix":""},{"dropping-particle":"","family":"Muhyi","given":"Muhammad","non-dropping-particle":"","parse-names":false,"suffix":""}],"container-title":"Indonesian Journal of Research in Physical Education","id":"ITEM-1","issue":"1","issued":{"date-parts":[["2023"]]},"page":"73","title":"INDONESIAN JOURNAL OF RESEARCH IN PHYSICAL EDUCATION, SPORT, AND HEALTH Validity and reliability of TGMD-2 Surakarta children aged 7-10 years Sport Coaching Education Program, Universitas Sebelas Maret, Indonesia","type":"article-journal","volume":"1"},"uris":["http://www.mendeley.com/documents/?uuid=70056d56-a33d-416e-9d5d-ec1b54f52bb4"]}],"mendeley":{"formattedCitation":"(Wijanarko et al., 2023)","plainTextFormattedCitation":"(Wijanarko et al., 2023)","previouslyFormattedCitation":"(Wijanarko et al., 2023)"},"properties":{"noteIndex":0},"schema":"https://github.com/citation-style-language/schema/raw/master/csl-citation.json"}</w:instrText>
      </w:r>
      <w:r w:rsidR="00B62A6C">
        <w:rPr>
          <w:bCs/>
          <w:noProof/>
          <w:szCs w:val="24"/>
          <w:lang w:val="en-ID"/>
        </w:rPr>
        <w:fldChar w:fldCharType="separate"/>
      </w:r>
      <w:r w:rsidR="00B62A6C" w:rsidRPr="00B62A6C">
        <w:rPr>
          <w:bCs/>
          <w:noProof/>
          <w:szCs w:val="24"/>
          <w:lang w:val="en-ID"/>
        </w:rPr>
        <w:t>(Wijanarko et al., 2023)</w:t>
      </w:r>
      <w:r w:rsidR="00B62A6C">
        <w:rPr>
          <w:bCs/>
          <w:noProof/>
          <w:szCs w:val="24"/>
          <w:lang w:val="en-ID"/>
        </w:rPr>
        <w:fldChar w:fldCharType="end"/>
      </w:r>
      <w:r w:rsidR="00B62A6C">
        <w:rPr>
          <w:bCs/>
          <w:noProof/>
          <w:szCs w:val="24"/>
          <w:lang w:val="en-ID"/>
        </w:rPr>
        <w:t>.</w:t>
      </w:r>
      <w:r w:rsidRPr="008D5A3E">
        <w:rPr>
          <w:bCs/>
          <w:noProof/>
          <w:szCs w:val="24"/>
          <w:lang w:val="en-ID"/>
        </w:rPr>
        <w:t xml:space="preserve"> juga melaporkan bahwa skor TGMD-2 anak Indonesia berhubungan positif dengan frekuensi aktivitas fisik mingguan. Dengan demikian, penelitian ini memperkuat bukti empiris bahwa keterampilan motorik kasar sangat dipengaruhi oleh kebiasaan aktivitas fisik terstruktur.</w:t>
      </w:r>
    </w:p>
    <w:p w14:paraId="5BB1C365"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3. Perbedaan Jenis Kelamin</w:t>
      </w:r>
    </w:p>
    <w:p w14:paraId="4DA1E2AA" w14:textId="77777777" w:rsidR="008D5A3E" w:rsidRPr="008D5A3E" w:rsidRDefault="008D5A3E" w:rsidP="008D5A3E">
      <w:pPr>
        <w:spacing w:before="60" w:after="120" w:line="240" w:lineRule="auto"/>
        <w:jc w:val="left"/>
        <w:rPr>
          <w:bCs/>
          <w:noProof/>
          <w:szCs w:val="24"/>
          <w:lang w:val="en-ID"/>
        </w:rPr>
      </w:pPr>
      <w:r w:rsidRPr="008D5A3E">
        <w:rPr>
          <w:bCs/>
          <w:noProof/>
          <w:szCs w:val="24"/>
          <w:lang w:val="en-ID"/>
        </w:rPr>
        <w:t xml:space="preserve">Hasil penelitian menunjukkan adanya perbedaan kecil namun signifikan antara laki-laki dan perempuan, di mana laki-laki cenderung lebih tinggi skor TGMD-2-nya. Hal ini sejalan dengan penelitian </w:t>
      </w:r>
      <w:r w:rsidRPr="008D5A3E">
        <w:rPr>
          <w:b/>
          <w:bCs/>
          <w:noProof/>
          <w:szCs w:val="24"/>
          <w:lang w:val="en-ID"/>
        </w:rPr>
        <w:t>Arifiyanti (2021)</w:t>
      </w:r>
      <w:r w:rsidRPr="008D5A3E">
        <w:rPr>
          <w:bCs/>
          <w:noProof/>
          <w:szCs w:val="24"/>
          <w:lang w:val="en-ID"/>
        </w:rPr>
        <w:t xml:space="preserve"> di </w:t>
      </w:r>
      <w:r w:rsidRPr="008D5A3E">
        <w:rPr>
          <w:bCs/>
          <w:i/>
          <w:iCs/>
          <w:noProof/>
          <w:szCs w:val="24"/>
          <w:lang w:val="en-ID"/>
        </w:rPr>
        <w:t>Aulad Journal</w:t>
      </w:r>
      <w:r w:rsidRPr="008D5A3E">
        <w:rPr>
          <w:bCs/>
          <w:noProof/>
          <w:szCs w:val="24"/>
          <w:lang w:val="en-ID"/>
        </w:rPr>
        <w:t>, bahwa anak laki-laki lebih unggul dalam aspek kontrol objek seperti menendang, melempar, dan menangkap, sedangkan perempuan sedikit lebih baik dalam keterampilan lokomotor seperti melompat atau berlari ringan. Namun, faktor partisipasi ekstrakurikuler meniadakan sebagian besar perbedaan ini, yang berarti latihan dan pengalaman lebih menentukan dibanding faktor biologis.</w:t>
      </w:r>
    </w:p>
    <w:p w14:paraId="56817FF4"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4. Makna Pendidikan dan Kesehatan</w:t>
      </w:r>
    </w:p>
    <w:p w14:paraId="41169892" w14:textId="033EF061" w:rsidR="008D5A3E" w:rsidRPr="008D5A3E" w:rsidRDefault="008D5A3E" w:rsidP="008D5A3E">
      <w:pPr>
        <w:spacing w:before="60" w:after="120" w:line="240" w:lineRule="auto"/>
        <w:jc w:val="left"/>
        <w:rPr>
          <w:bCs/>
          <w:noProof/>
          <w:szCs w:val="24"/>
          <w:lang w:val="en-ID"/>
        </w:rPr>
      </w:pPr>
      <w:r w:rsidRPr="008D5A3E">
        <w:rPr>
          <w:bCs/>
          <w:noProof/>
          <w:szCs w:val="24"/>
          <w:lang w:val="en-ID"/>
        </w:rPr>
        <w:t>Keterampilan motorik kasar yang baik pada usia sekolah dasar sangat berhubungan dengan kebugaran jasmani, kepercayaan diri fisik (</w:t>
      </w:r>
      <w:r w:rsidRPr="008D5A3E">
        <w:rPr>
          <w:bCs/>
          <w:i/>
          <w:iCs/>
          <w:noProof/>
          <w:szCs w:val="24"/>
          <w:lang w:val="en-ID"/>
        </w:rPr>
        <w:t>physical self-confidence</w:t>
      </w:r>
      <w:r w:rsidRPr="008D5A3E">
        <w:rPr>
          <w:bCs/>
          <w:noProof/>
          <w:szCs w:val="24"/>
          <w:lang w:val="en-ID"/>
        </w:rPr>
        <w:t xml:space="preserve">), serta kecenderungan aktif secara fisik di masa remaja </w:t>
      </w:r>
      <w:r w:rsidR="00B62A6C">
        <w:rPr>
          <w:bCs/>
          <w:noProof/>
          <w:szCs w:val="24"/>
          <w:lang w:val="en-ID"/>
        </w:rPr>
        <w:fldChar w:fldCharType="begin" w:fldLock="1"/>
      </w:r>
      <w:r w:rsidR="00B62A6C">
        <w:rPr>
          <w:bCs/>
          <w:noProof/>
          <w:szCs w:val="24"/>
          <w:lang w:val="en-ID"/>
        </w:rPr>
        <w:instrText>ADDIN CSL_CITATION {"citationItems":[{"id":"ITEM-1","itemData":{"DOI":"10.1007/s40279-016-0495-z","ISSN":"11792035","PMID":"26894274","abstract":"Background: Gross motor competence confers health benefits, but levels in children and adolescents are low. While interventions can improve gross motor competence, it remains unclear which correlates should be targeted to ensure interventions are most effective, and for whom targeted and tailored interventions should be developed. Objective: The aim of this systematic review was to identify the potential correlates of gross motor competence in typically developing children and adolescents (aged 3–18 years) using an ecological approach. Methods: Motor competence was defined as gross motor skill competency, encompassing fundamental movement skills and motor coordination, but excluding motor fitness. Studies needed to assess a summary score of at least one aspect of motor competence (i.e., object control, locomotor, stability, or motor coordination). A structured electronic literature search was conducted in accordance with the Preferred Reporting Items for Systematic Reviews and Meta-Analyses statement. Six electronic databases (CINAHL Complete, ERIC, MEDLINE Complete, PsycINFO®, Scopus and SPORTDiscus with Full Text) were searched from 1994 to 5 August 2014. Meta-analyses were conducted to determine the relationship between potential correlates and motor competency if at least three individual studies investigated the same correlate and also reported standardized regression coefficients. Results: A total of 59 studies were identified from 22 different countries, published between 1995 and 2014. Studies reflected the full range of age groups. The most examined correlates were biological and demographic factors. Age (increasing) was a correlate of children’s motor competence. Weight status (healthy), sex (male) and socioeconomic background (higher) were consistent correlates for certain aspects of motor competence only. Physical activity and sport participation constituted the majority of investigations in the behavioral attributes and skills category. Whilst we found physical activity to be a positive correlate of skill composite and motor coordination, we also found indeterminate evidence for physical activity being a correlate of object control or locomotor skill competence. Few studies investigated cognitive, emotional and psychological factors, cultural and social factors or physical environment factors as correlates of motor competence. Conclusion: This systematic review is the first that has investigated correlates of gross motor competence in child…","author":[{"dropping-particle":"","family":"Barnett","given":"Lisa M.","non-dropping-particle":"","parse-names":false,"suffix":""},{"dropping-particle":"","family":"Lai","given":"Samuel K.","non-dropping-particle":"","parse-names":false,"suffix":""},{"dropping-particle":"","family":"Veldman","given":"Sanne L.C.","non-dropping-particle":"","parse-names":false,"suffix":""},{"dropping-particle":"","family":"Hardy","given":"Louise L.","non-dropping-particle":"","parse-names":false,"suffix":""},{"dropping-particle":"","family":"Cliff","given":"Dylan P.","non-dropping-particle":"","parse-names":false,"suffix":""},{"dropping-particle":"","family":"Morgan","given":"Philip J.","non-dropping-particle":"","parse-names":false,"suffix":""},{"dropping-particle":"","family":"Zask","given":"Avigdor","non-dropping-particle":"","parse-names":false,"suffix":""},{"dropping-particle":"","family":"Lubans","given":"David R.","non-dropping-particle":"","parse-names":false,"suffix":""},{"dropping-particle":"","family":"Shultz","given":"Sarah P.","non-dropping-particle":"","parse-names":false,"suffix":""},{"dropping-particle":"","family":"Ridgers","given":"Nicola D.","non-dropping-particle":"","parse-names":false,"suffix":""},{"dropping-particle":"","family":"Rush","given":"Elaine","non-dropping-particle":"","parse-names":false,"suffix":""},{"dropping-particle":"","family":"Brown","given":"Helen L.","non-dropping-particle":"","parse-names":false,"suffix":""},{"dropping-particle":"","family":"Okely","given":"Anthony D.","non-dropping-particle":"","parse-names":false,"suffix":""}],"container-title":"Sports Medicine","id":"ITEM-1","issue":"11","issued":{"date-parts":[["2016"]]},"page":"1663-1688","publisher":"Springer International Publishing","title":"Correlates of Gross Motor Competence in Children and Adolescents: A Systematic Review and Meta-Analysis","type":"article-journal","volume":"46"},"uris":["http://www.mendeley.com/documents/?uuid=6cdda076-fa27-4c93-98d0-21f1843a8971"]}],"mendeley":{"formattedCitation":"(Barnett et al., 2016)","plainTextFormattedCitation":"(Barnett et al., 2016)","previouslyFormattedCitation":"(Barnett et al., 2016)"},"properties":{"noteIndex":0},"schema":"https://github.com/citation-style-language/schema/raw/master/csl-citation.json"}</w:instrText>
      </w:r>
      <w:r w:rsidR="00B62A6C">
        <w:rPr>
          <w:bCs/>
          <w:noProof/>
          <w:szCs w:val="24"/>
          <w:lang w:val="en-ID"/>
        </w:rPr>
        <w:fldChar w:fldCharType="separate"/>
      </w:r>
      <w:r w:rsidR="00B62A6C" w:rsidRPr="00B62A6C">
        <w:rPr>
          <w:bCs/>
          <w:noProof/>
          <w:szCs w:val="24"/>
          <w:lang w:val="en-ID"/>
        </w:rPr>
        <w:t>(Barnett et al., 2016)</w:t>
      </w:r>
      <w:r w:rsidR="00B62A6C">
        <w:rPr>
          <w:bCs/>
          <w:noProof/>
          <w:szCs w:val="24"/>
          <w:lang w:val="en-ID"/>
        </w:rPr>
        <w:fldChar w:fldCharType="end"/>
      </w:r>
      <w:r w:rsidRPr="008D5A3E">
        <w:rPr>
          <w:bCs/>
          <w:noProof/>
          <w:szCs w:val="24"/>
          <w:lang w:val="en-ID"/>
        </w:rPr>
        <w:t xml:space="preserve">. Siswa yang memiliki keterampilan motorik rendah cenderung menghindari aktivitas fisik dan mengalami </w:t>
      </w:r>
      <w:r w:rsidRPr="008D5A3E">
        <w:rPr>
          <w:bCs/>
          <w:i/>
          <w:iCs/>
          <w:noProof/>
          <w:szCs w:val="24"/>
          <w:lang w:val="en-ID"/>
        </w:rPr>
        <w:t>motor competence gap</w:t>
      </w:r>
      <w:r w:rsidRPr="008D5A3E">
        <w:rPr>
          <w:bCs/>
          <w:noProof/>
          <w:szCs w:val="24"/>
          <w:lang w:val="en-ID"/>
        </w:rPr>
        <w:t xml:space="preserve"> (Cattuzzo et al., 2016). Oleh karena itu, hasil penelitian ini menegaskan pentingnya sekolah menyediakan dan mengoptimalkan kegiatan ekstrakurikuler olahraga untuk mendukung perkembangan motorik dan kebugaran anak.</w:t>
      </w:r>
    </w:p>
    <w:p w14:paraId="1AE7E638"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5. Implikasi terhadap Kurikulum Sekolah</w:t>
      </w:r>
    </w:p>
    <w:p w14:paraId="4D77A944" w14:textId="2AAEB519" w:rsidR="008D5A3E" w:rsidRPr="008D5A3E" w:rsidRDefault="008D5A3E" w:rsidP="008D5A3E">
      <w:pPr>
        <w:spacing w:before="60" w:after="120" w:line="240" w:lineRule="auto"/>
        <w:jc w:val="left"/>
        <w:rPr>
          <w:bCs/>
          <w:noProof/>
          <w:szCs w:val="24"/>
          <w:lang w:val="en-ID"/>
        </w:rPr>
      </w:pPr>
      <w:r w:rsidRPr="008D5A3E">
        <w:rPr>
          <w:bCs/>
          <w:noProof/>
          <w:szCs w:val="24"/>
          <w:lang w:val="en-ID"/>
        </w:rPr>
        <w:t>Dalam konteks SDI Al-Chusnaini, kegiatan ekstrakurikuler seperti futsal, atletik, dan senam dapat dianggap sebagai sarana pendidikan non-formal yang memperkuat hasil pembelajaran pendidikan jasmani formal. Peningkatan fasilitas olahraga, pelatihan guru PJOK, serta pelibatan orang tua menjadi faktor pendukung keberlanjutan hasil positif ini</w:t>
      </w:r>
      <w:r w:rsidR="00E929F6">
        <w:rPr>
          <w:bCs/>
          <w:noProof/>
          <w:szCs w:val="24"/>
          <w:lang w:val="en-ID"/>
        </w:rPr>
        <w:t xml:space="preserve"> </w:t>
      </w:r>
      <w:r w:rsidR="00E929F6">
        <w:rPr>
          <w:bCs/>
          <w:noProof/>
          <w:szCs w:val="24"/>
          <w:lang w:val="en-ID"/>
        </w:rPr>
        <w:fldChar w:fldCharType="begin" w:fldLock="1"/>
      </w:r>
      <w:r w:rsidR="00E929F6">
        <w:rPr>
          <w:bCs/>
          <w:noProof/>
          <w:szCs w:val="24"/>
          <w:lang w:val="en-ID"/>
        </w:rPr>
        <w:instrText>ADDIN CSL_CITATION {"citationItems":[{"id":"ITEM-1","itemData":{"DOI":"10.3390/sports12020044","ISSN":"20754663","abstract":"Background: From a young age, children learn different motor skills known as fundamental motor skills. The acquisition of these skills is crucial for the future development of context-tailored actions that could improve adherence to physical activity (PA) practice. Motor competence and function deficits have been associated with pediatric obesity. We reviewed the literature data regarding motor competence in pediatrics and impaired motor performance in children and adolescents with obesity. Methods: We assessed the abstracts of the available literature (n = 110) and reviewed the full texts of potentially relevant articles (n = 65) that were analyzed to provide a critical discussion. Results: Children and adolescents with obesity show impaired motor performance, executive functions, postural control, and motor coordination. Children’s age represents a crucial point in the development of motor skills. Early interventions are crucial to preventing declines in motor proficiency and impacting children’s PA and overall fitness levels. Conclusions: To involve children, the PA protocol must be fun and tailored in consideration of several aspects, such as clinical picture, level of physical fitness, and motor skills. A supervised adapted exercise program is useful to personalized PA programs from an early pediatric age.","author":[{"dropping-particle":"","family":"Vandoni","given":"Matteo","non-dropping-particle":"","parse-names":false,"suffix":""},{"dropping-particle":"","family":"Marin","given":"Luca","non-dropping-particle":"","parse-names":false,"suffix":""},{"dropping-particle":"","family":"Cavallo","given":"Caterina","non-dropping-particle":"","parse-names":false,"suffix":""},{"dropping-particle":"","family":"Gatti","given":"Alessandro","non-dropping-particle":"","parse-names":false,"suffix":""},{"dropping-particle":"","family":"Grazi","given":"Roberta","non-dropping-particle":"","parse-names":false,"suffix":""},{"dropping-particle":"","family":"Albanese","given":"Ilaria","non-dropping-particle":"","parse-names":false,"suffix":""},{"dropping-particle":"","family":"Taranto","given":"Silvia","non-dropping-particle":"","parse-names":false,"suffix":""},{"dropping-particle":"","family":"Silvestri","given":"Dario","non-dropping-particle":"","parse-names":false,"suffix":""},{"dropping-particle":"","family":"Carlo","given":"Eleonora","non-dropping-particle":"Di","parse-names":false,"suffix":""},{"dropping-particle":"","family":"Patanè","given":"Pamela","non-dropping-particle":"","parse-names":false,"suffix":""},{"dropping-particle":"","family":"Carnevale Pellino","given":"Vittoria","non-dropping-particle":"","parse-names":false,"suffix":""},{"dropping-particle":"","family":"Zuccotti","given":"Gianvincenzo","non-dropping-particle":"","parse-names":false,"suffix":""},{"dropping-particle":"","family":"Calcaterra","given":"Valeria","non-dropping-particle":"","parse-names":false,"suffix":""}],"container-title":"Sports","id":"ITEM-1","issue":"2","issued":{"date-parts":[["2024"]]},"page":"1-18","title":"Poor Motor Competence Affects Functional Capacities and Healthcare in Children and Adolescents with Obesity","type":"article-journal","volume":"12"},"uris":["http://www.mendeley.com/documents/?uuid=9977a6d9-80aa-4626-b201-13d524bfcc48"]}],"mendeley":{"formattedCitation":"(Vandoni et al., 2024)","plainTextFormattedCitation":"(Vandoni et al., 2024)"},"properties":{"noteIndex":0},"schema":"https://github.com/citation-style-language/schema/raw/master/csl-citation.json"}</w:instrText>
      </w:r>
      <w:r w:rsidR="00E929F6">
        <w:rPr>
          <w:bCs/>
          <w:noProof/>
          <w:szCs w:val="24"/>
          <w:lang w:val="en-ID"/>
        </w:rPr>
        <w:fldChar w:fldCharType="separate"/>
      </w:r>
      <w:r w:rsidR="00E929F6" w:rsidRPr="00E929F6">
        <w:rPr>
          <w:bCs/>
          <w:noProof/>
          <w:szCs w:val="24"/>
          <w:lang w:val="en-ID"/>
        </w:rPr>
        <w:t>(Vandoni et al., 2024)</w:t>
      </w:r>
      <w:r w:rsidR="00E929F6">
        <w:rPr>
          <w:bCs/>
          <w:noProof/>
          <w:szCs w:val="24"/>
          <w:lang w:val="en-ID"/>
        </w:rPr>
        <w:fldChar w:fldCharType="end"/>
      </w:r>
      <w:r w:rsidR="00E929F6">
        <w:rPr>
          <w:bCs/>
          <w:noProof/>
          <w:szCs w:val="24"/>
          <w:lang w:val="en-ID"/>
        </w:rPr>
        <w:t>.</w:t>
      </w:r>
    </w:p>
    <w:p w14:paraId="02A57504"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6. Keterbatasan Penelitian</w:t>
      </w:r>
    </w:p>
    <w:p w14:paraId="2086CFBB" w14:textId="77777777" w:rsidR="008D5A3E" w:rsidRPr="008D5A3E" w:rsidRDefault="008D5A3E" w:rsidP="008D5A3E">
      <w:pPr>
        <w:spacing w:before="60" w:after="120" w:line="240" w:lineRule="auto"/>
        <w:jc w:val="left"/>
        <w:rPr>
          <w:bCs/>
          <w:noProof/>
          <w:szCs w:val="24"/>
          <w:lang w:val="en-ID"/>
        </w:rPr>
      </w:pPr>
      <w:r w:rsidRPr="008D5A3E">
        <w:rPr>
          <w:bCs/>
          <w:noProof/>
          <w:szCs w:val="24"/>
          <w:lang w:val="en-ID"/>
        </w:rPr>
        <w:t xml:space="preserve">Keterbatasan penelitian ini meliputi: (1) desain </w:t>
      </w:r>
      <w:r w:rsidRPr="00F95EA7">
        <w:rPr>
          <w:bCs/>
          <w:i/>
          <w:iCs/>
          <w:noProof/>
          <w:szCs w:val="24"/>
          <w:lang w:val="en-ID"/>
        </w:rPr>
        <w:t>cross-sectional</w:t>
      </w:r>
      <w:r w:rsidRPr="008D5A3E">
        <w:rPr>
          <w:bCs/>
          <w:noProof/>
          <w:szCs w:val="24"/>
          <w:lang w:val="en-ID"/>
        </w:rPr>
        <w:t xml:space="preserve"> yang tidak dapat menjelaskan hubungan sebab-akibat; (2) faktor lingkungan dan status gizi belum dikontrol; (3) penilaian TGMD-2 dilakukan satu kali tanpa pengukuran </w:t>
      </w:r>
      <w:r w:rsidRPr="00F95EA7">
        <w:rPr>
          <w:bCs/>
          <w:i/>
          <w:iCs/>
          <w:noProof/>
          <w:szCs w:val="24"/>
          <w:lang w:val="en-ID"/>
        </w:rPr>
        <w:t>follow-up</w:t>
      </w:r>
      <w:r w:rsidRPr="008D5A3E">
        <w:rPr>
          <w:bCs/>
          <w:noProof/>
          <w:szCs w:val="24"/>
          <w:lang w:val="en-ID"/>
        </w:rPr>
        <w:t>. Meski demikian, reliabilitas antar-penguji menunjukkan konsistensi tinggi (r = 0,91), sehingga hasil tetap dapat dipercaya.</w:t>
      </w:r>
    </w:p>
    <w:p w14:paraId="6EDBF207" w14:textId="77777777" w:rsidR="008D5A3E" w:rsidRPr="008D5A3E" w:rsidRDefault="008D5A3E" w:rsidP="008D5A3E">
      <w:pPr>
        <w:spacing w:before="60" w:after="120" w:line="240" w:lineRule="auto"/>
        <w:jc w:val="left"/>
        <w:rPr>
          <w:b/>
          <w:bCs/>
          <w:noProof/>
          <w:szCs w:val="24"/>
          <w:lang w:val="en-ID"/>
        </w:rPr>
      </w:pPr>
      <w:r w:rsidRPr="008D5A3E">
        <w:rPr>
          <w:b/>
          <w:bCs/>
          <w:noProof/>
          <w:szCs w:val="24"/>
          <w:lang w:val="en-ID"/>
        </w:rPr>
        <w:t>7. Kontribusi Ilmiah</w:t>
      </w:r>
    </w:p>
    <w:p w14:paraId="06E0F720" w14:textId="77777777" w:rsidR="008D5A3E" w:rsidRPr="008D5A3E" w:rsidRDefault="008D5A3E" w:rsidP="008D5A3E">
      <w:pPr>
        <w:spacing w:before="60" w:after="120" w:line="240" w:lineRule="auto"/>
        <w:jc w:val="left"/>
        <w:rPr>
          <w:bCs/>
          <w:noProof/>
          <w:szCs w:val="24"/>
          <w:lang w:val="en-ID"/>
        </w:rPr>
      </w:pPr>
      <w:r w:rsidRPr="008D5A3E">
        <w:rPr>
          <w:bCs/>
          <w:noProof/>
          <w:szCs w:val="24"/>
          <w:lang w:val="en-ID"/>
        </w:rPr>
        <w:t xml:space="preserve">Penelitian ini berkontribusi dalam memperkuat bukti empiris lokal bahwa program ekstrakurikuler olahraga memiliki manfaat signifikan terhadap perkembangan motorik kasar </w:t>
      </w:r>
      <w:r w:rsidRPr="008D5A3E">
        <w:rPr>
          <w:bCs/>
          <w:noProof/>
          <w:szCs w:val="24"/>
          <w:lang w:val="en-ID"/>
        </w:rPr>
        <w:lastRenderedPageBreak/>
        <w:t xml:space="preserve">anak SD Indonesia, serta memperluas penerapan </w:t>
      </w:r>
      <w:r w:rsidRPr="008D5A3E">
        <w:rPr>
          <w:b/>
          <w:bCs/>
          <w:noProof/>
          <w:szCs w:val="24"/>
          <w:lang w:val="en-ID"/>
        </w:rPr>
        <w:t>TGMD-2</w:t>
      </w:r>
      <w:r w:rsidRPr="008D5A3E">
        <w:rPr>
          <w:bCs/>
          <w:noProof/>
          <w:szCs w:val="24"/>
          <w:lang w:val="en-ID"/>
        </w:rPr>
        <w:t xml:space="preserve"> di konteks pendidikan dasar Islam terpadu.</w:t>
      </w:r>
    </w:p>
    <w:p w14:paraId="0726C5EB" w14:textId="11A2C8F5" w:rsidR="00B42068" w:rsidRPr="00FC2828" w:rsidRDefault="00E949D6" w:rsidP="00C80118">
      <w:pPr>
        <w:spacing w:before="60" w:after="120" w:line="240" w:lineRule="auto"/>
        <w:jc w:val="left"/>
        <w:rPr>
          <w:b/>
          <w:noProof/>
          <w:szCs w:val="24"/>
          <w:lang w:val="id-ID"/>
        </w:rPr>
      </w:pPr>
      <w:r w:rsidRPr="00FC2828">
        <w:rPr>
          <w:b/>
          <w:noProof/>
          <w:szCs w:val="24"/>
          <w:lang w:val="id-ID"/>
        </w:rPr>
        <w:t>KESIMPULAN</w:t>
      </w:r>
      <w:r w:rsidR="000E5DF5" w:rsidRPr="00FC2828">
        <w:rPr>
          <w:b/>
          <w:noProof/>
          <w:szCs w:val="24"/>
          <w:lang w:val="id-ID"/>
        </w:rPr>
        <w:t xml:space="preserve"> </w:t>
      </w:r>
    </w:p>
    <w:p w14:paraId="372236AE" w14:textId="77777777" w:rsidR="008D5A3E" w:rsidRPr="008D5A3E" w:rsidRDefault="008D5A3E" w:rsidP="008D5A3E">
      <w:pPr>
        <w:widowControl w:val="0"/>
        <w:autoSpaceDE w:val="0"/>
        <w:autoSpaceDN w:val="0"/>
        <w:adjustRightInd w:val="0"/>
        <w:spacing w:before="60" w:after="120" w:line="240" w:lineRule="auto"/>
        <w:ind w:left="480" w:hanging="480"/>
        <w:rPr>
          <w:rFonts w:eastAsia="Calibri"/>
          <w:b/>
          <w:bCs/>
          <w:iCs/>
          <w:sz w:val="22"/>
          <w:szCs w:val="24"/>
          <w:lang w:val="en-ID" w:eastAsia="en-US"/>
        </w:rPr>
      </w:pPr>
      <w:r w:rsidRPr="008D5A3E">
        <w:rPr>
          <w:rFonts w:eastAsia="Calibri"/>
          <w:b/>
          <w:bCs/>
          <w:iCs/>
          <w:sz w:val="22"/>
          <w:szCs w:val="24"/>
          <w:lang w:val="en-ID" w:eastAsia="en-US"/>
        </w:rPr>
        <w:t>Kesimpulan</w:t>
      </w:r>
    </w:p>
    <w:p w14:paraId="3698820F" w14:textId="77777777" w:rsidR="008D5A3E" w:rsidRPr="008D5A3E" w:rsidRDefault="008D5A3E" w:rsidP="008D5A3E">
      <w:pPr>
        <w:widowControl w:val="0"/>
        <w:numPr>
          <w:ilvl w:val="0"/>
          <w:numId w:val="14"/>
        </w:numPr>
        <w:autoSpaceDE w:val="0"/>
        <w:autoSpaceDN w:val="0"/>
        <w:adjustRightInd w:val="0"/>
        <w:spacing w:before="60" w:after="120" w:line="240" w:lineRule="auto"/>
        <w:rPr>
          <w:rFonts w:eastAsia="Calibri"/>
          <w:bCs/>
          <w:iCs/>
          <w:sz w:val="22"/>
          <w:szCs w:val="24"/>
          <w:lang w:val="en-ID" w:eastAsia="en-US"/>
        </w:rPr>
      </w:pPr>
      <w:r w:rsidRPr="008D5A3E">
        <w:rPr>
          <w:rFonts w:eastAsia="Calibri"/>
          <w:bCs/>
          <w:iCs/>
          <w:sz w:val="22"/>
          <w:szCs w:val="24"/>
          <w:lang w:val="en-ID" w:eastAsia="en-US"/>
        </w:rPr>
        <w:t xml:space="preserve">Terdapat </w:t>
      </w:r>
      <w:r w:rsidRPr="008D5A3E">
        <w:rPr>
          <w:rFonts w:eastAsia="Calibri"/>
          <w:b/>
          <w:bCs/>
          <w:iCs/>
          <w:sz w:val="22"/>
          <w:szCs w:val="24"/>
          <w:lang w:val="en-ID" w:eastAsia="en-US"/>
        </w:rPr>
        <w:t>perbedaan signifikan (p &lt; 0,001)</w:t>
      </w:r>
      <w:r w:rsidRPr="008D5A3E">
        <w:rPr>
          <w:rFonts w:eastAsia="Calibri"/>
          <w:bCs/>
          <w:iCs/>
          <w:sz w:val="22"/>
          <w:szCs w:val="24"/>
          <w:lang w:val="en-ID" w:eastAsia="en-US"/>
        </w:rPr>
        <w:t xml:space="preserve"> dalam tingkat keterampilan motorik kasar (TGMD-2) antara siswa yang aktif mengikuti ekstrakurikuler olahraga dan yang tidak di SDI Al-Chusnaini.</w:t>
      </w:r>
    </w:p>
    <w:p w14:paraId="13C252EB" w14:textId="77777777" w:rsidR="008D5A3E" w:rsidRPr="008D5A3E" w:rsidRDefault="008D5A3E" w:rsidP="008D5A3E">
      <w:pPr>
        <w:widowControl w:val="0"/>
        <w:numPr>
          <w:ilvl w:val="0"/>
          <w:numId w:val="14"/>
        </w:numPr>
        <w:autoSpaceDE w:val="0"/>
        <w:autoSpaceDN w:val="0"/>
        <w:adjustRightInd w:val="0"/>
        <w:spacing w:before="60" w:after="120" w:line="240" w:lineRule="auto"/>
        <w:rPr>
          <w:rFonts w:eastAsia="Calibri"/>
          <w:bCs/>
          <w:iCs/>
          <w:sz w:val="22"/>
          <w:szCs w:val="24"/>
          <w:lang w:val="en-ID" w:eastAsia="en-US"/>
        </w:rPr>
      </w:pPr>
      <w:r w:rsidRPr="008D5A3E">
        <w:rPr>
          <w:rFonts w:eastAsia="Calibri"/>
          <w:bCs/>
          <w:iCs/>
          <w:sz w:val="22"/>
          <w:szCs w:val="24"/>
          <w:lang w:val="en-ID" w:eastAsia="en-US"/>
        </w:rPr>
        <w:t xml:space="preserve">Kelompok aktif menunjukkan </w:t>
      </w:r>
      <w:r w:rsidRPr="008D5A3E">
        <w:rPr>
          <w:rFonts w:eastAsia="Calibri"/>
          <w:b/>
          <w:bCs/>
          <w:iCs/>
          <w:sz w:val="22"/>
          <w:szCs w:val="24"/>
          <w:lang w:val="en-ID" w:eastAsia="en-US"/>
        </w:rPr>
        <w:t>rata-rata GMQ = 92,1 ± 8,3</w:t>
      </w:r>
      <w:r w:rsidRPr="008D5A3E">
        <w:rPr>
          <w:rFonts w:eastAsia="Calibri"/>
          <w:bCs/>
          <w:iCs/>
          <w:sz w:val="22"/>
          <w:szCs w:val="24"/>
          <w:lang w:val="en-ID" w:eastAsia="en-US"/>
        </w:rPr>
        <w:t xml:space="preserve">, sedangkan kelompok tidak aktif </w:t>
      </w:r>
      <w:r w:rsidRPr="008D5A3E">
        <w:rPr>
          <w:rFonts w:eastAsia="Calibri"/>
          <w:b/>
          <w:bCs/>
          <w:iCs/>
          <w:sz w:val="22"/>
          <w:szCs w:val="24"/>
          <w:lang w:val="en-ID" w:eastAsia="en-US"/>
        </w:rPr>
        <w:t>83,7 ± 9,1</w:t>
      </w:r>
      <w:r w:rsidRPr="008D5A3E">
        <w:rPr>
          <w:rFonts w:eastAsia="Calibri"/>
          <w:bCs/>
          <w:iCs/>
          <w:sz w:val="22"/>
          <w:szCs w:val="24"/>
          <w:lang w:val="en-ID" w:eastAsia="en-US"/>
        </w:rPr>
        <w:t>.</w:t>
      </w:r>
    </w:p>
    <w:p w14:paraId="20F3B034" w14:textId="77777777" w:rsidR="008D5A3E" w:rsidRPr="008D5A3E" w:rsidRDefault="008D5A3E" w:rsidP="008D5A3E">
      <w:pPr>
        <w:widowControl w:val="0"/>
        <w:numPr>
          <w:ilvl w:val="0"/>
          <w:numId w:val="14"/>
        </w:numPr>
        <w:autoSpaceDE w:val="0"/>
        <w:autoSpaceDN w:val="0"/>
        <w:adjustRightInd w:val="0"/>
        <w:spacing w:before="60" w:after="120" w:line="240" w:lineRule="auto"/>
        <w:rPr>
          <w:rFonts w:eastAsia="Calibri"/>
          <w:bCs/>
          <w:iCs/>
          <w:sz w:val="22"/>
          <w:szCs w:val="24"/>
          <w:lang w:val="en-ID" w:eastAsia="en-US"/>
        </w:rPr>
      </w:pPr>
      <w:r w:rsidRPr="008D5A3E">
        <w:rPr>
          <w:rFonts w:eastAsia="Calibri"/>
          <w:bCs/>
          <w:iCs/>
          <w:sz w:val="22"/>
          <w:szCs w:val="24"/>
          <w:lang w:val="en-ID" w:eastAsia="en-US"/>
        </w:rPr>
        <w:t xml:space="preserve">Jenis kelamin menunjukkan perbedaan minor terhadap skor TGMD-2, tetapi </w:t>
      </w:r>
      <w:r w:rsidRPr="008D5A3E">
        <w:rPr>
          <w:rFonts w:eastAsia="Calibri"/>
          <w:b/>
          <w:bCs/>
          <w:iCs/>
          <w:sz w:val="22"/>
          <w:szCs w:val="24"/>
          <w:lang w:val="en-ID" w:eastAsia="en-US"/>
        </w:rPr>
        <w:t>frekuensi aktivitas olahraga</w:t>
      </w:r>
      <w:r w:rsidRPr="008D5A3E">
        <w:rPr>
          <w:rFonts w:eastAsia="Calibri"/>
          <w:bCs/>
          <w:iCs/>
          <w:sz w:val="22"/>
          <w:szCs w:val="24"/>
          <w:lang w:val="en-ID" w:eastAsia="en-US"/>
        </w:rPr>
        <w:t xml:space="preserve"> merupakan faktor dominan.</w:t>
      </w:r>
    </w:p>
    <w:p w14:paraId="3FBB8286" w14:textId="77777777" w:rsidR="008D5A3E" w:rsidRPr="008D5A3E" w:rsidRDefault="008D5A3E" w:rsidP="008D5A3E">
      <w:pPr>
        <w:widowControl w:val="0"/>
        <w:numPr>
          <w:ilvl w:val="0"/>
          <w:numId w:val="14"/>
        </w:numPr>
        <w:autoSpaceDE w:val="0"/>
        <w:autoSpaceDN w:val="0"/>
        <w:adjustRightInd w:val="0"/>
        <w:spacing w:before="60" w:after="120" w:line="240" w:lineRule="auto"/>
        <w:rPr>
          <w:rFonts w:eastAsia="Calibri"/>
          <w:bCs/>
          <w:iCs/>
          <w:sz w:val="22"/>
          <w:szCs w:val="24"/>
          <w:lang w:val="en-ID" w:eastAsia="en-US"/>
        </w:rPr>
      </w:pPr>
      <w:r w:rsidRPr="008D5A3E">
        <w:rPr>
          <w:rFonts w:eastAsia="Calibri"/>
          <w:bCs/>
          <w:iCs/>
          <w:sz w:val="22"/>
          <w:szCs w:val="24"/>
          <w:lang w:val="en-ID" w:eastAsia="en-US"/>
        </w:rPr>
        <w:t xml:space="preserve">Hasil ini menegaskan pentingnya </w:t>
      </w:r>
      <w:r w:rsidRPr="008D5A3E">
        <w:rPr>
          <w:rFonts w:eastAsia="Calibri"/>
          <w:b/>
          <w:bCs/>
          <w:iCs/>
          <w:sz w:val="22"/>
          <w:szCs w:val="24"/>
          <w:lang w:val="en-ID" w:eastAsia="en-US"/>
        </w:rPr>
        <w:t>aktivitas fisik terstruktur dan berkelanjutan</w:t>
      </w:r>
      <w:r w:rsidRPr="008D5A3E">
        <w:rPr>
          <w:rFonts w:eastAsia="Calibri"/>
          <w:bCs/>
          <w:iCs/>
          <w:sz w:val="22"/>
          <w:szCs w:val="24"/>
          <w:lang w:val="en-ID" w:eastAsia="en-US"/>
        </w:rPr>
        <w:t xml:space="preserve"> bagi perkembangan keterampilan motorik kasar anak usia 9–12 tahun.</w:t>
      </w:r>
    </w:p>
    <w:p w14:paraId="178B1B09" w14:textId="77777777" w:rsidR="008D5A3E" w:rsidRPr="008D5A3E" w:rsidRDefault="008D5A3E" w:rsidP="008D5A3E">
      <w:pPr>
        <w:widowControl w:val="0"/>
        <w:autoSpaceDE w:val="0"/>
        <w:autoSpaceDN w:val="0"/>
        <w:adjustRightInd w:val="0"/>
        <w:spacing w:before="60" w:after="120" w:line="240" w:lineRule="auto"/>
        <w:ind w:left="480" w:hanging="480"/>
        <w:rPr>
          <w:rFonts w:eastAsia="Calibri"/>
          <w:b/>
          <w:bCs/>
          <w:iCs/>
          <w:sz w:val="22"/>
          <w:szCs w:val="24"/>
          <w:lang w:val="en-ID" w:eastAsia="en-US"/>
        </w:rPr>
      </w:pPr>
      <w:r w:rsidRPr="008D5A3E">
        <w:rPr>
          <w:rFonts w:eastAsia="Calibri"/>
          <w:b/>
          <w:bCs/>
          <w:iCs/>
          <w:sz w:val="22"/>
          <w:szCs w:val="24"/>
          <w:lang w:val="en-ID" w:eastAsia="en-US"/>
        </w:rPr>
        <w:t>Rekomendasi</w:t>
      </w:r>
    </w:p>
    <w:p w14:paraId="4E98DF44" w14:textId="77777777" w:rsidR="008D5A3E" w:rsidRPr="008D5A3E" w:rsidRDefault="008D5A3E" w:rsidP="008D5A3E">
      <w:pPr>
        <w:widowControl w:val="0"/>
        <w:numPr>
          <w:ilvl w:val="0"/>
          <w:numId w:val="15"/>
        </w:numPr>
        <w:autoSpaceDE w:val="0"/>
        <w:autoSpaceDN w:val="0"/>
        <w:adjustRightInd w:val="0"/>
        <w:spacing w:before="60" w:after="120" w:line="240" w:lineRule="auto"/>
        <w:rPr>
          <w:rFonts w:eastAsia="Calibri"/>
          <w:bCs/>
          <w:iCs/>
          <w:sz w:val="22"/>
          <w:szCs w:val="24"/>
          <w:lang w:val="en-ID" w:eastAsia="en-US"/>
        </w:rPr>
      </w:pPr>
      <w:r w:rsidRPr="008D5A3E">
        <w:rPr>
          <w:rFonts w:eastAsia="Calibri"/>
          <w:b/>
          <w:bCs/>
          <w:iCs/>
          <w:sz w:val="22"/>
          <w:szCs w:val="24"/>
          <w:lang w:val="en-ID" w:eastAsia="en-US"/>
        </w:rPr>
        <w:t>Sekolah</w:t>
      </w:r>
      <w:r w:rsidRPr="008D5A3E">
        <w:rPr>
          <w:rFonts w:eastAsia="Calibri"/>
          <w:bCs/>
          <w:iCs/>
          <w:sz w:val="22"/>
          <w:szCs w:val="24"/>
          <w:lang w:val="en-ID" w:eastAsia="en-US"/>
        </w:rPr>
        <w:t xml:space="preserve"> disarankan memperluas dan memodifikasi program ekstrakurikuler olahraga agar mencakup semua siswa, termasuk perempuan.</w:t>
      </w:r>
    </w:p>
    <w:p w14:paraId="59BA19FB" w14:textId="77777777" w:rsidR="008D5A3E" w:rsidRPr="008D5A3E" w:rsidRDefault="008D5A3E" w:rsidP="008D5A3E">
      <w:pPr>
        <w:widowControl w:val="0"/>
        <w:numPr>
          <w:ilvl w:val="0"/>
          <w:numId w:val="15"/>
        </w:numPr>
        <w:autoSpaceDE w:val="0"/>
        <w:autoSpaceDN w:val="0"/>
        <w:adjustRightInd w:val="0"/>
        <w:spacing w:before="60" w:after="120" w:line="240" w:lineRule="auto"/>
        <w:rPr>
          <w:rFonts w:eastAsia="Calibri"/>
          <w:bCs/>
          <w:iCs/>
          <w:sz w:val="22"/>
          <w:szCs w:val="24"/>
          <w:lang w:val="en-ID" w:eastAsia="en-US"/>
        </w:rPr>
      </w:pPr>
      <w:r w:rsidRPr="008D5A3E">
        <w:rPr>
          <w:rFonts w:eastAsia="Calibri"/>
          <w:b/>
          <w:bCs/>
          <w:iCs/>
          <w:sz w:val="22"/>
          <w:szCs w:val="24"/>
          <w:lang w:val="en-ID" w:eastAsia="en-US"/>
        </w:rPr>
        <w:t>Guru PJOK</w:t>
      </w:r>
      <w:r w:rsidRPr="008D5A3E">
        <w:rPr>
          <w:rFonts w:eastAsia="Calibri"/>
          <w:bCs/>
          <w:iCs/>
          <w:sz w:val="22"/>
          <w:szCs w:val="24"/>
          <w:lang w:val="en-ID" w:eastAsia="en-US"/>
        </w:rPr>
        <w:t xml:space="preserve"> perlu menggunakan instrumen TGMD-2 secara periodik untuk memantau perkembangan motorik siswa.</w:t>
      </w:r>
    </w:p>
    <w:p w14:paraId="538389B3" w14:textId="77777777" w:rsidR="008D5A3E" w:rsidRPr="008D5A3E" w:rsidRDefault="008D5A3E" w:rsidP="008D5A3E">
      <w:pPr>
        <w:widowControl w:val="0"/>
        <w:numPr>
          <w:ilvl w:val="0"/>
          <w:numId w:val="15"/>
        </w:numPr>
        <w:autoSpaceDE w:val="0"/>
        <w:autoSpaceDN w:val="0"/>
        <w:adjustRightInd w:val="0"/>
        <w:spacing w:before="60" w:after="120" w:line="240" w:lineRule="auto"/>
        <w:rPr>
          <w:rFonts w:eastAsia="Calibri"/>
          <w:bCs/>
          <w:iCs/>
          <w:sz w:val="22"/>
          <w:szCs w:val="24"/>
          <w:lang w:val="en-ID" w:eastAsia="en-US"/>
        </w:rPr>
      </w:pPr>
      <w:r w:rsidRPr="008D5A3E">
        <w:rPr>
          <w:rFonts w:eastAsia="Calibri"/>
          <w:b/>
          <w:bCs/>
          <w:iCs/>
          <w:sz w:val="22"/>
          <w:szCs w:val="24"/>
          <w:lang w:val="en-ID" w:eastAsia="en-US"/>
        </w:rPr>
        <w:t>Orang tua</w:t>
      </w:r>
      <w:r w:rsidRPr="008D5A3E">
        <w:rPr>
          <w:rFonts w:eastAsia="Calibri"/>
          <w:bCs/>
          <w:iCs/>
          <w:sz w:val="22"/>
          <w:szCs w:val="24"/>
          <w:lang w:val="en-ID" w:eastAsia="en-US"/>
        </w:rPr>
        <w:t xml:space="preserve"> sebaiknya mendukung anak untuk berpartisipasi aktif dalam kegiatan fisik baik di sekolah maupun di luar sekolah.</w:t>
      </w:r>
    </w:p>
    <w:p w14:paraId="784677DC" w14:textId="77777777" w:rsidR="008D5A3E" w:rsidRDefault="008D5A3E" w:rsidP="008D5A3E">
      <w:pPr>
        <w:widowControl w:val="0"/>
        <w:numPr>
          <w:ilvl w:val="0"/>
          <w:numId w:val="15"/>
        </w:numPr>
        <w:autoSpaceDE w:val="0"/>
        <w:autoSpaceDN w:val="0"/>
        <w:adjustRightInd w:val="0"/>
        <w:spacing w:before="60" w:after="120" w:line="240" w:lineRule="auto"/>
        <w:rPr>
          <w:rFonts w:eastAsia="Calibri"/>
          <w:bCs/>
          <w:iCs/>
          <w:sz w:val="22"/>
          <w:szCs w:val="24"/>
          <w:lang w:val="en-ID" w:eastAsia="en-US"/>
        </w:rPr>
      </w:pPr>
      <w:r w:rsidRPr="008D5A3E">
        <w:rPr>
          <w:rFonts w:eastAsia="Calibri"/>
          <w:bCs/>
          <w:iCs/>
          <w:sz w:val="22"/>
          <w:szCs w:val="24"/>
          <w:lang w:val="en-ID" w:eastAsia="en-US"/>
        </w:rPr>
        <w:t xml:space="preserve">Penelitian selanjutnya disarankan menggunakan </w:t>
      </w:r>
      <w:r w:rsidRPr="00F95EA7">
        <w:rPr>
          <w:rFonts w:eastAsia="Calibri"/>
          <w:b/>
          <w:bCs/>
          <w:i/>
          <w:sz w:val="22"/>
          <w:szCs w:val="24"/>
          <w:lang w:val="en-ID" w:eastAsia="en-US"/>
        </w:rPr>
        <w:t>desain longitudinal atau eksperimen terkontrol</w:t>
      </w:r>
      <w:r w:rsidRPr="008D5A3E">
        <w:rPr>
          <w:rFonts w:eastAsia="Calibri"/>
          <w:bCs/>
          <w:iCs/>
          <w:sz w:val="22"/>
          <w:szCs w:val="24"/>
          <w:lang w:val="en-ID" w:eastAsia="en-US"/>
        </w:rPr>
        <w:t>, dengan pengukuran tambahan seperti status gizi, kebugaran jasmani, dan lingkungan bermain, untuk mendapatkan pemahaman yang lebih komprehensif.</w:t>
      </w:r>
    </w:p>
    <w:p w14:paraId="4B98D6E9" w14:textId="77777777" w:rsidR="007D3B57" w:rsidRDefault="007D3B57" w:rsidP="007D3B57">
      <w:pPr>
        <w:widowControl w:val="0"/>
        <w:autoSpaceDE w:val="0"/>
        <w:autoSpaceDN w:val="0"/>
        <w:adjustRightInd w:val="0"/>
        <w:spacing w:before="60" w:after="120" w:line="240" w:lineRule="auto"/>
        <w:rPr>
          <w:rFonts w:eastAsia="Calibri"/>
          <w:bCs/>
          <w:iCs/>
          <w:sz w:val="22"/>
          <w:szCs w:val="24"/>
          <w:lang w:val="en-ID" w:eastAsia="en-US"/>
        </w:rPr>
      </w:pPr>
    </w:p>
    <w:p w14:paraId="6F9AC92E" w14:textId="77777777" w:rsidR="007D3B57" w:rsidRPr="008D5A3E" w:rsidRDefault="007D3B57" w:rsidP="007D3B57">
      <w:pPr>
        <w:widowControl w:val="0"/>
        <w:autoSpaceDE w:val="0"/>
        <w:autoSpaceDN w:val="0"/>
        <w:adjustRightInd w:val="0"/>
        <w:spacing w:before="60" w:after="120" w:line="240" w:lineRule="auto"/>
        <w:rPr>
          <w:rFonts w:eastAsia="Calibri"/>
          <w:bCs/>
          <w:iCs/>
          <w:sz w:val="22"/>
          <w:szCs w:val="24"/>
          <w:lang w:val="en-ID" w:eastAsia="en-US"/>
        </w:rPr>
      </w:pPr>
    </w:p>
    <w:p w14:paraId="78CF0178" w14:textId="0A5BD7DA" w:rsidR="008E7E3F" w:rsidRDefault="00E949D6" w:rsidP="00F7317C">
      <w:pPr>
        <w:widowControl w:val="0"/>
        <w:autoSpaceDE w:val="0"/>
        <w:autoSpaceDN w:val="0"/>
        <w:adjustRightInd w:val="0"/>
        <w:spacing w:before="60" w:after="120" w:line="240" w:lineRule="auto"/>
        <w:ind w:left="480" w:hanging="480"/>
        <w:rPr>
          <w:b/>
          <w:noProof/>
          <w:szCs w:val="24"/>
          <w:lang w:val="id-ID"/>
        </w:rPr>
      </w:pPr>
      <w:r w:rsidRPr="00FC2828">
        <w:rPr>
          <w:b/>
          <w:noProof/>
          <w:szCs w:val="24"/>
          <w:lang w:val="id-ID"/>
        </w:rPr>
        <w:t>D</w:t>
      </w:r>
      <w:r w:rsidR="00014069" w:rsidRPr="00FC2828">
        <w:rPr>
          <w:b/>
          <w:noProof/>
          <w:szCs w:val="24"/>
          <w:lang w:val="id-ID"/>
        </w:rPr>
        <w:t>A</w:t>
      </w:r>
      <w:r w:rsidRPr="00FC2828">
        <w:rPr>
          <w:b/>
          <w:noProof/>
          <w:szCs w:val="24"/>
          <w:lang w:val="id-ID"/>
        </w:rPr>
        <w:t>FT</w:t>
      </w:r>
      <w:r w:rsidR="00014069" w:rsidRPr="00FC2828">
        <w:rPr>
          <w:b/>
          <w:noProof/>
          <w:szCs w:val="24"/>
          <w:lang w:val="id-ID"/>
        </w:rPr>
        <w:t>A</w:t>
      </w:r>
      <w:r w:rsidRPr="00FC2828">
        <w:rPr>
          <w:b/>
          <w:noProof/>
          <w:szCs w:val="24"/>
          <w:lang w:val="id-ID"/>
        </w:rPr>
        <w:t>R PUS</w:t>
      </w:r>
      <w:r w:rsidR="00A044E7" w:rsidRPr="00FC2828">
        <w:rPr>
          <w:b/>
          <w:noProof/>
          <w:szCs w:val="24"/>
          <w:lang w:val="id-ID"/>
        </w:rPr>
        <w:t>T</w:t>
      </w:r>
      <w:r w:rsidR="00F7317C">
        <w:rPr>
          <w:b/>
          <w:noProof/>
          <w:szCs w:val="24"/>
          <w:lang w:val="id-ID"/>
        </w:rPr>
        <w:t>A</w:t>
      </w:r>
      <w:r w:rsidR="00A044E7" w:rsidRPr="00FC2828">
        <w:rPr>
          <w:b/>
          <w:noProof/>
          <w:szCs w:val="24"/>
          <w:lang w:val="id-ID"/>
        </w:rPr>
        <w:t>KA</w:t>
      </w:r>
      <w:r w:rsidR="00333160" w:rsidRPr="00FC2828">
        <w:rPr>
          <w:b/>
          <w:noProof/>
          <w:szCs w:val="24"/>
          <w:lang w:val="id-ID"/>
        </w:rPr>
        <w:t xml:space="preserve"> </w:t>
      </w:r>
    </w:p>
    <w:p w14:paraId="35DA391E" w14:textId="4C8BCFC6" w:rsidR="00E929F6" w:rsidRPr="00E929F6" w:rsidRDefault="00501EBD" w:rsidP="00E929F6">
      <w:pPr>
        <w:widowControl w:val="0"/>
        <w:autoSpaceDE w:val="0"/>
        <w:autoSpaceDN w:val="0"/>
        <w:adjustRightInd w:val="0"/>
        <w:spacing w:before="0" w:after="120" w:line="240" w:lineRule="auto"/>
        <w:ind w:left="480" w:hanging="480"/>
        <w:rPr>
          <w:noProof/>
        </w:rPr>
      </w:pPr>
      <w:r>
        <w:rPr>
          <w:noProof/>
          <w:szCs w:val="24"/>
          <w:lang w:val="id-ID"/>
        </w:rPr>
        <w:fldChar w:fldCharType="begin" w:fldLock="1"/>
      </w:r>
      <w:r>
        <w:rPr>
          <w:noProof/>
          <w:szCs w:val="24"/>
          <w:lang w:val="id-ID"/>
        </w:rPr>
        <w:instrText xml:space="preserve">ADDIN Mendeley Bibliography CSL_BIBLIOGRAPHY </w:instrText>
      </w:r>
      <w:r>
        <w:rPr>
          <w:noProof/>
          <w:szCs w:val="24"/>
          <w:lang w:val="id-ID"/>
        </w:rPr>
        <w:fldChar w:fldCharType="separate"/>
      </w:r>
      <w:r w:rsidR="00E929F6" w:rsidRPr="00E929F6">
        <w:rPr>
          <w:noProof/>
        </w:rPr>
        <w:t xml:space="preserve">abd el shakour,  mohamed. (2021). The effect of geographical regions (urban and rural areas) on movement competence of Egyptian schoolchildren from 6-7 years. </w:t>
      </w:r>
      <w:r w:rsidR="00E929F6" w:rsidRPr="00E929F6">
        <w:rPr>
          <w:i/>
          <w:iCs/>
          <w:noProof/>
        </w:rPr>
        <w:t>International Journal of Sports Science and Arts</w:t>
      </w:r>
      <w:r w:rsidR="00E929F6" w:rsidRPr="00E929F6">
        <w:rPr>
          <w:noProof/>
        </w:rPr>
        <w:t xml:space="preserve">, </w:t>
      </w:r>
      <w:r w:rsidR="00E929F6" w:rsidRPr="00E929F6">
        <w:rPr>
          <w:i/>
          <w:iCs/>
          <w:noProof/>
        </w:rPr>
        <w:t>017</w:t>
      </w:r>
      <w:r w:rsidR="00E929F6" w:rsidRPr="00E929F6">
        <w:rPr>
          <w:noProof/>
        </w:rPr>
        <w:t>(017), 111–130. https://doi.org/10.21608/eijssa.2021.56144.1059</w:t>
      </w:r>
    </w:p>
    <w:p w14:paraId="0FCDF491"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Alipour, F., Hejazi, A., &amp; Khanvani, M. R. (2025). A Comparative Study of Extracurricular Activities in Education Systems of Iran, Finland and Malaysia. </w:t>
      </w:r>
      <w:r w:rsidRPr="00E929F6">
        <w:rPr>
          <w:i/>
          <w:iCs/>
          <w:noProof/>
        </w:rPr>
        <w:t>Iranian Journal of Comparative Education</w:t>
      </w:r>
      <w:r w:rsidRPr="00E929F6">
        <w:rPr>
          <w:noProof/>
        </w:rPr>
        <w:t xml:space="preserve">, </w:t>
      </w:r>
      <w:r w:rsidRPr="00E929F6">
        <w:rPr>
          <w:i/>
          <w:iCs/>
          <w:noProof/>
        </w:rPr>
        <w:t>8</w:t>
      </w:r>
      <w:r w:rsidRPr="00E929F6">
        <w:rPr>
          <w:noProof/>
        </w:rPr>
        <w:t>(1), 3358–3381. https://doi.org/10.22034/IJCE.2024.487930.1615</w:t>
      </w:r>
    </w:p>
    <w:p w14:paraId="6B2C08C8"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Almeida, M. B. de, Leandro, C. G., Queiroz, D. da R., José-da-Silva, M., Pessôa dos Prazeres, T. M., Pereira, G. M., das-Neves, G. S., Carneiro, R. C., Figueredo-Alves, A. D., Nakamura, F. Y., Henrique, R. dos S., &amp; Moura-dos-Santos, M. A. (2021). Plyometric training increases gross motor coordination and associated components of physical fitness in children. </w:t>
      </w:r>
      <w:r w:rsidRPr="00E929F6">
        <w:rPr>
          <w:i/>
          <w:iCs/>
          <w:noProof/>
        </w:rPr>
        <w:t>European Journal of Sport Science</w:t>
      </w:r>
      <w:r w:rsidRPr="00E929F6">
        <w:rPr>
          <w:noProof/>
        </w:rPr>
        <w:t xml:space="preserve">, </w:t>
      </w:r>
      <w:r w:rsidRPr="00E929F6">
        <w:rPr>
          <w:i/>
          <w:iCs/>
          <w:noProof/>
        </w:rPr>
        <w:t>21</w:t>
      </w:r>
      <w:r w:rsidRPr="00E929F6">
        <w:rPr>
          <w:noProof/>
        </w:rPr>
        <w:t>(9), 1263–1272. https://doi.org/10.1080/17461391.2020.1838620</w:t>
      </w:r>
    </w:p>
    <w:p w14:paraId="1359E402"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Barnett, L. M., Lai, S. K., Veldman, S. L. C., Hardy, L. L., Cliff, D. P., Morgan, P. J., Zask, A., Lubans, D. R., Shultz, S. P., Ridgers, N. D., Rush, E., Brown, H. L., &amp; Okely, A. D. (2016). Correlates of Gross Motor Competence in Children and Adolescents: A Systematic Review and Meta-Analysis. </w:t>
      </w:r>
      <w:r w:rsidRPr="00E929F6">
        <w:rPr>
          <w:i/>
          <w:iCs/>
          <w:noProof/>
        </w:rPr>
        <w:t>Sports Medicine</w:t>
      </w:r>
      <w:r w:rsidRPr="00E929F6">
        <w:rPr>
          <w:noProof/>
        </w:rPr>
        <w:t xml:space="preserve">, </w:t>
      </w:r>
      <w:r w:rsidRPr="00E929F6">
        <w:rPr>
          <w:i/>
          <w:iCs/>
          <w:noProof/>
        </w:rPr>
        <w:t>46</w:t>
      </w:r>
      <w:r w:rsidRPr="00E929F6">
        <w:rPr>
          <w:noProof/>
        </w:rPr>
        <w:t xml:space="preserve">(11), 1663–1688. </w:t>
      </w:r>
      <w:r w:rsidRPr="00E929F6">
        <w:rPr>
          <w:noProof/>
        </w:rPr>
        <w:lastRenderedPageBreak/>
        <w:t>https://doi.org/10.1007/s40279-016-0495-z</w:t>
      </w:r>
    </w:p>
    <w:p w14:paraId="7A8CE43C"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Chao, D. P. (2023). Health-promoting lifestyle and its predictors among health-related and non-health-related university students in Taiwan: a cross-sectional quantitative study. </w:t>
      </w:r>
      <w:r w:rsidRPr="00E929F6">
        <w:rPr>
          <w:i/>
          <w:iCs/>
          <w:noProof/>
        </w:rPr>
        <w:t>BMC Public Health</w:t>
      </w:r>
      <w:r w:rsidRPr="00E929F6">
        <w:rPr>
          <w:noProof/>
        </w:rPr>
        <w:t xml:space="preserve">, </w:t>
      </w:r>
      <w:r w:rsidRPr="00E929F6">
        <w:rPr>
          <w:i/>
          <w:iCs/>
          <w:noProof/>
        </w:rPr>
        <w:t>23</w:t>
      </w:r>
      <w:r w:rsidRPr="00E929F6">
        <w:rPr>
          <w:noProof/>
        </w:rPr>
        <w:t>(1), 1–14. https://doi.org/10.1186/s12889-023-15760-2</w:t>
      </w:r>
    </w:p>
    <w:p w14:paraId="0A1CC4E4"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Hao, X., &amp; Yang, Y. (2022). Healthy physical education curriculum model and students’ extracurricular sports participation ——test based on the trans-contextual model of motivation. </w:t>
      </w:r>
      <w:r w:rsidRPr="00E929F6">
        <w:rPr>
          <w:i/>
          <w:iCs/>
          <w:noProof/>
        </w:rPr>
        <w:t>BMC Public Health</w:t>
      </w:r>
      <w:r w:rsidRPr="00E929F6">
        <w:rPr>
          <w:noProof/>
        </w:rPr>
        <w:t xml:space="preserve">, </w:t>
      </w:r>
      <w:r w:rsidRPr="00E929F6">
        <w:rPr>
          <w:i/>
          <w:iCs/>
          <w:noProof/>
        </w:rPr>
        <w:t>22</w:t>
      </w:r>
      <w:r w:rsidRPr="00E929F6">
        <w:rPr>
          <w:noProof/>
        </w:rPr>
        <w:t>(1), 1–12. https://doi.org/10.1186/s12889-022-14483-0</w:t>
      </w:r>
    </w:p>
    <w:p w14:paraId="0CBA124F"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Ignatov, G., &amp; Echeva, G. (2021). State of the Regulatory Basis and Conditions in the Learning Environment for Providing Class and Extracurricular Activities in Physical Education and Sport. </w:t>
      </w:r>
      <w:r w:rsidRPr="00E929F6">
        <w:rPr>
          <w:i/>
          <w:iCs/>
          <w:noProof/>
        </w:rPr>
        <w:t>Trakia Journal of Sciences</w:t>
      </w:r>
      <w:r w:rsidRPr="00E929F6">
        <w:rPr>
          <w:noProof/>
        </w:rPr>
        <w:t xml:space="preserve">, </w:t>
      </w:r>
      <w:r w:rsidRPr="00E929F6">
        <w:rPr>
          <w:i/>
          <w:iCs/>
          <w:noProof/>
        </w:rPr>
        <w:t>19</w:t>
      </w:r>
      <w:r w:rsidRPr="00E929F6">
        <w:rPr>
          <w:noProof/>
        </w:rPr>
        <w:t>(Suppl.1), 677–683. https://doi.org/10.15547/tjs.2021.s.01.104</w:t>
      </w:r>
    </w:p>
    <w:p w14:paraId="595D0C02"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Joubert, A., &amp; Reid, M. (2024). Knowledge, skills, and training of community health workers to contribute to interprofessional education: a scoping review. </w:t>
      </w:r>
      <w:r w:rsidRPr="00E929F6">
        <w:rPr>
          <w:i/>
          <w:iCs/>
          <w:noProof/>
        </w:rPr>
        <w:t>Journal of Interprofessional Care</w:t>
      </w:r>
      <w:r w:rsidRPr="00E929F6">
        <w:rPr>
          <w:noProof/>
        </w:rPr>
        <w:t xml:space="preserve">, </w:t>
      </w:r>
      <w:r w:rsidRPr="00E929F6">
        <w:rPr>
          <w:i/>
          <w:iCs/>
          <w:noProof/>
        </w:rPr>
        <w:t>38</w:t>
      </w:r>
      <w:r w:rsidRPr="00E929F6">
        <w:rPr>
          <w:noProof/>
        </w:rPr>
        <w:t>(2), 308–318. https://doi.org/10.1080/13561820.2023.2176472</w:t>
      </w:r>
    </w:p>
    <w:p w14:paraId="61A2821D"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Kwon, H., &amp; Maeng, H. (2022). The Impact of a Rater Training Program on the TGMD-3 Scoring Accuracy of Pre-Service Adapted Physical Education Teachers. </w:t>
      </w:r>
      <w:r w:rsidRPr="00E929F6">
        <w:rPr>
          <w:i/>
          <w:iCs/>
          <w:noProof/>
        </w:rPr>
        <w:t>Children</w:t>
      </w:r>
      <w:r w:rsidRPr="00E929F6">
        <w:rPr>
          <w:noProof/>
        </w:rPr>
        <w:t xml:space="preserve">, </w:t>
      </w:r>
      <w:r w:rsidRPr="00E929F6">
        <w:rPr>
          <w:i/>
          <w:iCs/>
          <w:noProof/>
        </w:rPr>
        <w:t>9</w:t>
      </w:r>
      <w:r w:rsidRPr="00E929F6">
        <w:rPr>
          <w:noProof/>
        </w:rPr>
        <w:t>(6), 1–13. https://doi.org/10.3390/children9060881</w:t>
      </w:r>
    </w:p>
    <w:p w14:paraId="32668720"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Malambo, C., Nova, A., Clark, C., &amp; Musalek, M. (2022). Fitness , Motor Competency , Physical Activity , and Executive Functions in Pre-School Age Children: A Systematic Review. </w:t>
      </w:r>
      <w:r w:rsidRPr="00E929F6">
        <w:rPr>
          <w:i/>
          <w:iCs/>
          <w:noProof/>
        </w:rPr>
        <w:t>Children</w:t>
      </w:r>
      <w:r w:rsidRPr="00E929F6">
        <w:rPr>
          <w:noProof/>
        </w:rPr>
        <w:t xml:space="preserve">, </w:t>
      </w:r>
      <w:r w:rsidRPr="00E929F6">
        <w:rPr>
          <w:i/>
          <w:iCs/>
          <w:noProof/>
        </w:rPr>
        <w:t>9</w:t>
      </w:r>
      <w:r w:rsidRPr="00E929F6">
        <w:rPr>
          <w:noProof/>
        </w:rPr>
        <w:t>(1059), 1–17.</w:t>
      </w:r>
    </w:p>
    <w:p w14:paraId="225AA261"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Melby, P. S., Elsborg, P., Nielsen, G., Lima, R. A., Bentsen, P., &amp; Andersen, L. B. (2021). Exploring the importance of diversified physical activities in early childhood for later motor competence and physical activity level: a seven-year longitudinal study. </w:t>
      </w:r>
      <w:r w:rsidRPr="00E929F6">
        <w:rPr>
          <w:i/>
          <w:iCs/>
          <w:noProof/>
        </w:rPr>
        <w:t>BMC Public Health</w:t>
      </w:r>
      <w:r w:rsidRPr="00E929F6">
        <w:rPr>
          <w:noProof/>
        </w:rPr>
        <w:t xml:space="preserve">, </w:t>
      </w:r>
      <w:r w:rsidRPr="00E929F6">
        <w:rPr>
          <w:i/>
          <w:iCs/>
          <w:noProof/>
        </w:rPr>
        <w:t>21</w:t>
      </w:r>
      <w:r w:rsidRPr="00E929F6">
        <w:rPr>
          <w:noProof/>
        </w:rPr>
        <w:t>(1), 1–15. https://doi.org/10.1186/s12889-021-11343-1</w:t>
      </w:r>
    </w:p>
    <w:p w14:paraId="0A142F38"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Morphology, F. (2019). Health Promotion in Children and Adolescents through Sport and Physical Activities. In </w:t>
      </w:r>
      <w:r w:rsidRPr="00E929F6">
        <w:rPr>
          <w:i/>
          <w:iCs/>
          <w:noProof/>
        </w:rPr>
        <w:t>Health Promotion in Children and Adolescents through Sport and Physical Activities</w:t>
      </w:r>
      <w:r w:rsidRPr="00E929F6">
        <w:rPr>
          <w:noProof/>
        </w:rPr>
        <w:t>. https://doi.org/10.3390/books978-3-03897-887-9</w:t>
      </w:r>
    </w:p>
    <w:p w14:paraId="436431DD"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Oliveira, G. A., Marcelino, A. C., Tristão Parra, M., Nascimento-Ferreira, M. V., &amp; De Moraes, A. C. F. (2022). Validity and Reliability of Questionnaires That Assess Barriers and Facilitators of Sedentary Behavior in the Pediatric Population: A Systematic Review. </w:t>
      </w:r>
      <w:r w:rsidRPr="00E929F6">
        <w:rPr>
          <w:i/>
          <w:iCs/>
          <w:noProof/>
        </w:rPr>
        <w:t>International Journal of Environmental Research and Public Health</w:t>
      </w:r>
      <w:r w:rsidRPr="00E929F6">
        <w:rPr>
          <w:noProof/>
        </w:rPr>
        <w:t xml:space="preserve">, </w:t>
      </w:r>
      <w:r w:rsidRPr="00E929F6">
        <w:rPr>
          <w:i/>
          <w:iCs/>
          <w:noProof/>
        </w:rPr>
        <w:t>19</w:t>
      </w:r>
      <w:r w:rsidRPr="00E929F6">
        <w:rPr>
          <w:noProof/>
        </w:rPr>
        <w:t>(24). https://doi.org/10.3390/ijerph192416834</w:t>
      </w:r>
    </w:p>
    <w:p w14:paraId="75D9BFCD"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Pireva, F., Vehapi, S., &amp; Pireva, A. (2024). The Impact of Extracurricular Physical Activities on the Development of Motor Skills and anthropometric characteristics in 12 Year School Children. </w:t>
      </w:r>
      <w:r w:rsidRPr="00E929F6">
        <w:rPr>
          <w:i/>
          <w:iCs/>
          <w:noProof/>
        </w:rPr>
        <w:t>Sportske Nauke i Zdravlje</w:t>
      </w:r>
      <w:r w:rsidRPr="00E929F6">
        <w:rPr>
          <w:noProof/>
        </w:rPr>
        <w:t xml:space="preserve">, </w:t>
      </w:r>
      <w:r w:rsidRPr="00E929F6">
        <w:rPr>
          <w:i/>
          <w:iCs/>
          <w:noProof/>
        </w:rPr>
        <w:t>14</w:t>
      </w:r>
      <w:r w:rsidRPr="00E929F6">
        <w:rPr>
          <w:noProof/>
        </w:rPr>
        <w:t>(2), 179–183. https://doi.org/10.7251/SSH2402179P</w:t>
      </w:r>
    </w:p>
    <w:p w14:paraId="3DA0177B"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Pradnyani, T. I. A. R., Pramita, I., &amp; Tianing, N. W. (2024). The effect of physical activity for the development of motor skill in children aged 3-12 years old: a narrative review. </w:t>
      </w:r>
      <w:r w:rsidRPr="00E929F6">
        <w:rPr>
          <w:i/>
          <w:iCs/>
          <w:noProof/>
        </w:rPr>
        <w:t>Kinesiology and Physiotherapy Comprehensive</w:t>
      </w:r>
      <w:r w:rsidRPr="00E929F6">
        <w:rPr>
          <w:noProof/>
        </w:rPr>
        <w:t xml:space="preserve">, </w:t>
      </w:r>
      <w:r w:rsidRPr="00E929F6">
        <w:rPr>
          <w:i/>
          <w:iCs/>
          <w:noProof/>
        </w:rPr>
        <w:t>3</w:t>
      </w:r>
      <w:r w:rsidRPr="00E929F6">
        <w:rPr>
          <w:noProof/>
        </w:rPr>
        <w:t>(1), 23–28. https://doi.org/10.62004/kpc.v3i1.30</w:t>
      </w:r>
    </w:p>
    <w:p w14:paraId="41B194D6"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Pratama, E., Kurniawan, R., &amp; Gamagitta, L. P. (2024). Gross Motor Skills of Students with Autism Spectrum Disorder Aged 6-10 Years And Typically Developing Children on TGMD-2. </w:t>
      </w:r>
      <w:r w:rsidRPr="00E929F6">
        <w:rPr>
          <w:i/>
          <w:iCs/>
          <w:noProof/>
        </w:rPr>
        <w:t>Physical Activity Journal (PAJU)</w:t>
      </w:r>
      <w:r w:rsidRPr="00E929F6">
        <w:rPr>
          <w:noProof/>
        </w:rPr>
        <w:t xml:space="preserve">, </w:t>
      </w:r>
      <w:r w:rsidRPr="00E929F6">
        <w:rPr>
          <w:i/>
          <w:iCs/>
          <w:noProof/>
        </w:rPr>
        <w:t>6</w:t>
      </w:r>
      <w:r w:rsidRPr="00E929F6">
        <w:rPr>
          <w:noProof/>
        </w:rPr>
        <w:t>(1), 11–24.</w:t>
      </w:r>
    </w:p>
    <w:p w14:paraId="54A7B6B3"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lastRenderedPageBreak/>
        <w:t xml:space="preserve">Quílez-Robres, A., Moyano, N., &amp; Cortés-Pascual, A. (2021). Motivational, emotional, and social factors explain academic achievement in children aged 6–12 years: A meta-analysis. </w:t>
      </w:r>
      <w:r w:rsidRPr="00E929F6">
        <w:rPr>
          <w:i/>
          <w:iCs/>
          <w:noProof/>
        </w:rPr>
        <w:t>Education Sciences</w:t>
      </w:r>
      <w:r w:rsidRPr="00E929F6">
        <w:rPr>
          <w:noProof/>
        </w:rPr>
        <w:t xml:space="preserve">, </w:t>
      </w:r>
      <w:r w:rsidRPr="00E929F6">
        <w:rPr>
          <w:i/>
          <w:iCs/>
          <w:noProof/>
        </w:rPr>
        <w:t>11</w:t>
      </w:r>
      <w:r w:rsidRPr="00E929F6">
        <w:rPr>
          <w:noProof/>
        </w:rPr>
        <w:t>(9). https://doi.org/10.3390/educsci11090513</w:t>
      </w:r>
    </w:p>
    <w:p w14:paraId="4118CC84"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Rahmanifar, M., Ebrahimi, E., Davoodeh, S., Jamshidi Goharrizi, S., &amp; CheshmehChahi Fard, G. (2025). The effect of game-based intervention on locomotor skills of female students aged 9–11 years with flat foot. </w:t>
      </w:r>
      <w:r w:rsidRPr="00E929F6">
        <w:rPr>
          <w:i/>
          <w:iCs/>
          <w:noProof/>
        </w:rPr>
        <w:t>Sport Sciences for Health</w:t>
      </w:r>
      <w:r w:rsidRPr="00E929F6">
        <w:rPr>
          <w:noProof/>
        </w:rPr>
        <w:t xml:space="preserve">, </w:t>
      </w:r>
      <w:r w:rsidRPr="00E929F6">
        <w:rPr>
          <w:i/>
          <w:iCs/>
          <w:noProof/>
        </w:rPr>
        <w:t>21</w:t>
      </w:r>
      <w:r w:rsidRPr="00E929F6">
        <w:rPr>
          <w:noProof/>
        </w:rPr>
        <w:t>(2), 729–735. https://doi.org/10.1007/s11332-024-01307-4</w:t>
      </w:r>
    </w:p>
    <w:p w14:paraId="6F6AB579"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Saodat, O. (2022). Organization of Extracurricular Physical Education at School and Its Role in the Physical and Mental Improvement of Students. </w:t>
      </w:r>
      <w:r w:rsidRPr="00E929F6">
        <w:rPr>
          <w:i/>
          <w:iCs/>
          <w:noProof/>
        </w:rPr>
        <w:t>Indonesian Journal of Community and Special Needs Education</w:t>
      </w:r>
      <w:r w:rsidRPr="00E929F6">
        <w:rPr>
          <w:noProof/>
        </w:rPr>
        <w:t xml:space="preserve">, </w:t>
      </w:r>
      <w:r w:rsidRPr="00E929F6">
        <w:rPr>
          <w:i/>
          <w:iCs/>
          <w:noProof/>
        </w:rPr>
        <w:t>3</w:t>
      </w:r>
      <w:r w:rsidRPr="00E929F6">
        <w:rPr>
          <w:noProof/>
        </w:rPr>
        <w:t>(1), 73–84. https://doi.org/10.17509/ijcsne.v3i2.52175</w:t>
      </w:r>
    </w:p>
    <w:p w14:paraId="6BC0D4C5"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Skowroński, W., Skowrońska, M., Rutkowska, I., Bednarczuk, G., Kaźmierska-Kowalewska, K. M., &amp; Marszałek, J. (2019). The effects of extracurricular physical education classes on gross motor development in primary school children - pilot study. </w:t>
      </w:r>
      <w:r w:rsidRPr="00E929F6">
        <w:rPr>
          <w:i/>
          <w:iCs/>
          <w:noProof/>
        </w:rPr>
        <w:t>Biomedical Human Kinetics</w:t>
      </w:r>
      <w:r w:rsidRPr="00E929F6">
        <w:rPr>
          <w:noProof/>
        </w:rPr>
        <w:t xml:space="preserve">, </w:t>
      </w:r>
      <w:r w:rsidRPr="00E929F6">
        <w:rPr>
          <w:i/>
          <w:iCs/>
          <w:noProof/>
        </w:rPr>
        <w:t>11</w:t>
      </w:r>
      <w:r w:rsidRPr="00E929F6">
        <w:rPr>
          <w:noProof/>
        </w:rPr>
        <w:t>(1), 136–143. https://doi.org/10.2478/bhk-2019-0019</w:t>
      </w:r>
    </w:p>
    <w:p w14:paraId="5FAF8678"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Tan, J. S. Y., &amp; Lim, C. B. S. (2025). The development of gross motor skills in children: Insights from the Motor Assessment Test for Children. </w:t>
      </w:r>
      <w:r w:rsidRPr="00E929F6">
        <w:rPr>
          <w:i/>
          <w:iCs/>
          <w:noProof/>
        </w:rPr>
        <w:t>Journal of Experimental Child Psychology</w:t>
      </w:r>
      <w:r w:rsidRPr="00E929F6">
        <w:rPr>
          <w:noProof/>
        </w:rPr>
        <w:t xml:space="preserve">, </w:t>
      </w:r>
      <w:r w:rsidRPr="00E929F6">
        <w:rPr>
          <w:i/>
          <w:iCs/>
          <w:noProof/>
        </w:rPr>
        <w:t>256</w:t>
      </w:r>
      <w:r w:rsidRPr="00E929F6">
        <w:rPr>
          <w:noProof/>
        </w:rPr>
        <w:t>, 106255. https://doi.org/10.1016/j.jecp.2025.106255</w:t>
      </w:r>
    </w:p>
    <w:p w14:paraId="6BC6A200"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Valentini, N. C. (2012). Journal of Motor Behavior. </w:t>
      </w:r>
      <w:r w:rsidRPr="00E929F6">
        <w:rPr>
          <w:i/>
          <w:iCs/>
          <w:noProof/>
        </w:rPr>
        <w:t>Journal of Motor Behavior</w:t>
      </w:r>
      <w:r w:rsidRPr="00E929F6">
        <w:rPr>
          <w:noProof/>
        </w:rPr>
        <w:t xml:space="preserve">, </w:t>
      </w:r>
      <w:r w:rsidRPr="00E929F6">
        <w:rPr>
          <w:i/>
          <w:iCs/>
          <w:noProof/>
        </w:rPr>
        <w:t>44</w:t>
      </w:r>
      <w:r w:rsidRPr="00E929F6">
        <w:rPr>
          <w:noProof/>
        </w:rPr>
        <w:t>(4), 275–280.</w:t>
      </w:r>
    </w:p>
    <w:p w14:paraId="3E41D63B"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Vandoni, M., Marin, L., Cavallo, C., Gatti, A., Grazi, R., Albanese, I., Taranto, S., Silvestri, D., Di Carlo, E., Patanè, P., Carnevale Pellino, V., Zuccotti, G., &amp; Calcaterra, V. (2024). Poor Motor Competence Affects Functional Capacities and Healthcare in Children and Adolescents with Obesity. </w:t>
      </w:r>
      <w:r w:rsidRPr="00E929F6">
        <w:rPr>
          <w:i/>
          <w:iCs/>
          <w:noProof/>
        </w:rPr>
        <w:t>Sports</w:t>
      </w:r>
      <w:r w:rsidRPr="00E929F6">
        <w:rPr>
          <w:noProof/>
        </w:rPr>
        <w:t xml:space="preserve">, </w:t>
      </w:r>
      <w:r w:rsidRPr="00E929F6">
        <w:rPr>
          <w:i/>
          <w:iCs/>
          <w:noProof/>
        </w:rPr>
        <w:t>12</w:t>
      </w:r>
      <w:r w:rsidRPr="00E929F6">
        <w:rPr>
          <w:noProof/>
        </w:rPr>
        <w:t>(2), 1–18. https://doi.org/10.3390/sports12020044</w:t>
      </w:r>
    </w:p>
    <w:p w14:paraId="7EC47590"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Wijanarko, B., Nuryadin, I., Iqbal Doewes, R., &amp; Muhyi, M. (2023). INDONESIAN JOURNAL OF RESEARCH IN PHYSICAL EDUCATION, SPORT, AND HEALTH Validity and reliability of TGMD-2 Surakarta children aged 7-10 years Sport Coaching Education Program, Universitas Sebelas Maret, Indonesia. </w:t>
      </w:r>
      <w:r w:rsidRPr="00E929F6">
        <w:rPr>
          <w:i/>
          <w:iCs/>
          <w:noProof/>
        </w:rPr>
        <w:t>Indonesian Journal of Research in Physical Education</w:t>
      </w:r>
      <w:r w:rsidRPr="00E929F6">
        <w:rPr>
          <w:noProof/>
        </w:rPr>
        <w:t xml:space="preserve">, </w:t>
      </w:r>
      <w:r w:rsidRPr="00E929F6">
        <w:rPr>
          <w:i/>
          <w:iCs/>
          <w:noProof/>
        </w:rPr>
        <w:t>1</w:t>
      </w:r>
      <w:r w:rsidRPr="00E929F6">
        <w:rPr>
          <w:noProof/>
        </w:rPr>
        <w:t>(1), 73.</w:t>
      </w:r>
    </w:p>
    <w:p w14:paraId="51DF173D" w14:textId="77777777" w:rsidR="00E929F6" w:rsidRPr="00E929F6" w:rsidRDefault="00E929F6" w:rsidP="00E929F6">
      <w:pPr>
        <w:widowControl w:val="0"/>
        <w:autoSpaceDE w:val="0"/>
        <w:autoSpaceDN w:val="0"/>
        <w:adjustRightInd w:val="0"/>
        <w:spacing w:before="0" w:after="120" w:line="240" w:lineRule="auto"/>
        <w:ind w:left="480" w:hanging="480"/>
        <w:rPr>
          <w:noProof/>
        </w:rPr>
      </w:pPr>
      <w:r w:rsidRPr="00E929F6">
        <w:rPr>
          <w:noProof/>
        </w:rPr>
        <w:t xml:space="preserve">Xu, C., Ma, G., &amp; Yuan, J. (2025). From Play To Progress: The Impact of Extracurricular Activities on Early Childhood Development and Inequality. </w:t>
      </w:r>
      <w:r w:rsidRPr="00E929F6">
        <w:rPr>
          <w:i/>
          <w:iCs/>
          <w:noProof/>
        </w:rPr>
        <w:t>Applied Research in Quality of Life</w:t>
      </w:r>
      <w:r w:rsidRPr="00E929F6">
        <w:rPr>
          <w:noProof/>
        </w:rPr>
        <w:t>. https://doi.org/10.1007/s11482-025-10497-z</w:t>
      </w:r>
    </w:p>
    <w:p w14:paraId="3EC66D37" w14:textId="57F0FC99" w:rsidR="00333160" w:rsidRPr="00FC2828" w:rsidRDefault="00501EBD" w:rsidP="002772CF">
      <w:pPr>
        <w:spacing w:before="0" w:after="120" w:line="240" w:lineRule="auto"/>
        <w:ind w:left="709" w:hanging="709"/>
        <w:rPr>
          <w:noProof/>
          <w:szCs w:val="24"/>
          <w:lang w:val="id-ID"/>
        </w:rPr>
      </w:pPr>
      <w:r>
        <w:rPr>
          <w:noProof/>
          <w:szCs w:val="24"/>
          <w:lang w:val="id-ID"/>
        </w:rPr>
        <w:fldChar w:fldCharType="end"/>
      </w:r>
    </w:p>
    <w:sectPr w:rsidR="00333160" w:rsidRPr="00FC2828" w:rsidSect="007C4D6F">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pgNumType w:start="816"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BE754" w14:textId="77777777" w:rsidR="009A3EDB" w:rsidRDefault="009A3EDB">
      <w:r>
        <w:separator/>
      </w:r>
    </w:p>
  </w:endnote>
  <w:endnote w:type="continuationSeparator" w:id="0">
    <w:p w14:paraId="741B83BA" w14:textId="77777777" w:rsidR="009A3EDB" w:rsidRDefault="009A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Arial"/>
    <w:charset w:val="00"/>
    <w:family w:val="swiss"/>
    <w:pitch w:val="variable"/>
    <w:sig w:usb0="00000001" w:usb1="5000204B" w:usb2="00000000" w:usb3="00000000" w:csb0="00000097" w:csb1="00000000"/>
  </w:font>
  <w:font w:name="Bell MT">
    <w:panose1 w:val="020205030603050203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FE73C" w14:textId="4B5A6BB4" w:rsidR="00FB72F6" w:rsidRPr="00E65293" w:rsidRDefault="00FB72F6">
    <w:pPr>
      <w:pStyle w:val="Footer"/>
      <w:rPr>
        <w:sz w:val="20"/>
      </w:rPr>
    </w:pPr>
    <w:r w:rsidRPr="00E65293">
      <w:rPr>
        <w:sz w:val="20"/>
      </w:rPr>
      <w:fldChar w:fldCharType="begin"/>
    </w:r>
    <w:r w:rsidRPr="00E65293">
      <w:rPr>
        <w:sz w:val="20"/>
      </w:rPr>
      <w:instrText xml:space="preserve"> PAGE   \* MERGEFORMAT </w:instrText>
    </w:r>
    <w:r w:rsidRPr="00E65293">
      <w:rPr>
        <w:sz w:val="20"/>
      </w:rPr>
      <w:fldChar w:fldCharType="separate"/>
    </w:r>
    <w:r w:rsidR="005C53F2">
      <w:rPr>
        <w:noProof/>
        <w:sz w:val="20"/>
      </w:rPr>
      <w:t>824</w:t>
    </w:r>
    <w:r w:rsidRPr="00E6529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AEE3" w14:textId="6D7D5BEC" w:rsidR="00FB72F6" w:rsidRPr="00BD1923" w:rsidRDefault="00FB72F6" w:rsidP="002E1256">
    <w:pPr>
      <w:pStyle w:val="Footer"/>
      <w:tabs>
        <w:tab w:val="clear" w:pos="8640"/>
        <w:tab w:val="right" w:pos="9064"/>
      </w:tabs>
      <w:spacing w:before="0" w:line="240" w:lineRule="auto"/>
      <w:jc w:val="left"/>
      <w:rPr>
        <w:sz w:val="16"/>
        <w:szCs w:val="16"/>
      </w:rPr>
    </w:pPr>
    <w:r w:rsidRPr="000E5DF5">
      <w:rPr>
        <w:rFonts w:ascii="Cambria" w:hAnsi="Cambria"/>
        <w:i/>
        <w:sz w:val="16"/>
        <w:szCs w:val="16"/>
      </w:rPr>
      <w:tab/>
    </w:r>
    <w:r w:rsidRPr="000E5DF5">
      <w:rPr>
        <w:rFonts w:ascii="Cambria" w:hAnsi="Cambria"/>
        <w:i/>
        <w:sz w:val="16"/>
        <w:szCs w:val="16"/>
      </w:rPr>
      <w:tab/>
    </w:r>
    <w:r w:rsidRPr="00BD1923">
      <w:rPr>
        <w:sz w:val="16"/>
        <w:szCs w:val="16"/>
      </w:rPr>
      <w:fldChar w:fldCharType="begin"/>
    </w:r>
    <w:r w:rsidRPr="00BD1923">
      <w:rPr>
        <w:sz w:val="16"/>
        <w:szCs w:val="16"/>
      </w:rPr>
      <w:instrText xml:space="preserve"> PAGE   \* MERGEFORMAT </w:instrText>
    </w:r>
    <w:r w:rsidRPr="00BD1923">
      <w:rPr>
        <w:sz w:val="16"/>
        <w:szCs w:val="16"/>
      </w:rPr>
      <w:fldChar w:fldCharType="separate"/>
    </w:r>
    <w:r w:rsidR="005C53F2">
      <w:rPr>
        <w:noProof/>
        <w:sz w:val="16"/>
        <w:szCs w:val="16"/>
      </w:rPr>
      <w:t>823</w:t>
    </w:r>
    <w:r w:rsidRPr="00BD1923">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458A" w14:textId="6009F662" w:rsidR="00FB72F6" w:rsidRPr="00E65293" w:rsidRDefault="00FB72F6" w:rsidP="00D05E63">
    <w:pPr>
      <w:pStyle w:val="Footer"/>
      <w:jc w:val="center"/>
      <w:rPr>
        <w:sz w:val="20"/>
      </w:rPr>
    </w:pPr>
    <w:r w:rsidRPr="00E65293">
      <w:rPr>
        <w:sz w:val="20"/>
      </w:rPr>
      <w:fldChar w:fldCharType="begin"/>
    </w:r>
    <w:r w:rsidRPr="00E65293">
      <w:rPr>
        <w:sz w:val="20"/>
      </w:rPr>
      <w:instrText xml:space="preserve"> PAGE   \* MERGEFORMAT </w:instrText>
    </w:r>
    <w:r w:rsidRPr="00E65293">
      <w:rPr>
        <w:sz w:val="20"/>
      </w:rPr>
      <w:fldChar w:fldCharType="separate"/>
    </w:r>
    <w:r w:rsidR="005C53F2">
      <w:rPr>
        <w:noProof/>
        <w:sz w:val="20"/>
      </w:rPr>
      <w:t>816</w:t>
    </w:r>
    <w:r w:rsidRPr="00E65293">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F58FF" w14:textId="77777777" w:rsidR="009A3EDB" w:rsidRDefault="009A3EDB">
      <w:r>
        <w:separator/>
      </w:r>
    </w:p>
  </w:footnote>
  <w:footnote w:type="continuationSeparator" w:id="0">
    <w:p w14:paraId="7D77C9F3" w14:textId="77777777" w:rsidR="009A3EDB" w:rsidRDefault="009A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D132D" w14:textId="07666C1C" w:rsidR="00FB72F6" w:rsidRPr="007C4D6F" w:rsidRDefault="007C4D6F" w:rsidP="007C4D6F">
    <w:pPr>
      <w:pStyle w:val="Header"/>
      <w:jc w:val="center"/>
      <w:rPr>
        <w:sz w:val="20"/>
        <w:lang w:val="en-US"/>
      </w:rPr>
    </w:pPr>
    <w:r w:rsidRPr="007C4D6F">
      <w:rPr>
        <w:sz w:val="20"/>
        <w:lang w:val="en-US"/>
      </w:rPr>
      <w:t>N</w:t>
    </w:r>
    <w:r>
      <w:rPr>
        <w:sz w:val="20"/>
        <w:lang w:val="en-US"/>
      </w:rPr>
      <w:t xml:space="preserve">oni </w:t>
    </w:r>
    <w:proofErr w:type="spellStart"/>
    <w:r>
      <w:rPr>
        <w:sz w:val="20"/>
        <w:lang w:val="en-US"/>
      </w:rPr>
      <w:t>Dewi</w:t>
    </w:r>
    <w:proofErr w:type="spellEnd"/>
    <w:r>
      <w:rPr>
        <w:sz w:val="20"/>
        <w:lang w:val="en-US"/>
      </w:rPr>
      <w:t xml:space="preserve"> </w:t>
    </w:r>
    <w:proofErr w:type="spellStart"/>
    <w:r>
      <w:rPr>
        <w:sz w:val="20"/>
        <w:lang w:val="en-US"/>
      </w:rPr>
      <w:t>Nur</w:t>
    </w:r>
    <w:proofErr w:type="spellEnd"/>
    <w:r>
      <w:rPr>
        <w:sz w:val="20"/>
        <w:lang w:val="en-US"/>
      </w:rPr>
      <w:t xml:space="preserve"> </w:t>
    </w:r>
    <w:proofErr w:type="spellStart"/>
    <w:r>
      <w:rPr>
        <w:sz w:val="20"/>
        <w:lang w:val="en-US"/>
      </w:rPr>
      <w:t>Julaikha</w:t>
    </w:r>
    <w:proofErr w:type="spellEnd"/>
    <w:r>
      <w:rPr>
        <w:sz w:val="20"/>
        <w:lang w:val="en-US"/>
      </w:rPr>
      <w:t xml:space="preserve">, Roy </w:t>
    </w:r>
    <w:proofErr w:type="spellStart"/>
    <w:r>
      <w:rPr>
        <w:sz w:val="20"/>
        <w:lang w:val="en-US"/>
      </w:rPr>
      <w:t>Januardi</w:t>
    </w:r>
    <w:proofErr w:type="spellEnd"/>
    <w:r>
      <w:rPr>
        <w:sz w:val="20"/>
        <w:lang w:val="en-US"/>
      </w:rPr>
      <w:t xml:space="preserve"> </w:t>
    </w:r>
    <w:proofErr w:type="spellStart"/>
    <w:r>
      <w:rPr>
        <w:sz w:val="20"/>
        <w:lang w:val="en-US"/>
      </w:rPr>
      <w:t>Irawan</w:t>
    </w:r>
    <w:proofErr w:type="spellEnd"/>
    <w:r>
      <w:rPr>
        <w:sz w:val="20"/>
        <w:lang w:val="en-US"/>
      </w:rPr>
      <w:t xml:space="preserve">, </w:t>
    </w:r>
    <w:proofErr w:type="spellStart"/>
    <w:r>
      <w:rPr>
        <w:sz w:val="20"/>
        <w:lang w:val="en-US"/>
      </w:rPr>
      <w:t>Pudjijuniarto</w:t>
    </w:r>
    <w:proofErr w:type="gramStart"/>
    <w:r>
      <w:rPr>
        <w:sz w:val="20"/>
        <w:lang w:val="en-US"/>
      </w:rPr>
      <w:t>,Dita</w:t>
    </w:r>
    <w:proofErr w:type="spellEnd"/>
    <w:proofErr w:type="gramEnd"/>
    <w:r>
      <w:rPr>
        <w:sz w:val="20"/>
        <w:lang w:val="en-US"/>
      </w:rPr>
      <w:t xml:space="preserve"> </w:t>
    </w:r>
    <w:proofErr w:type="spellStart"/>
    <w:r>
      <w:rPr>
        <w:sz w:val="20"/>
        <w:lang w:val="en-US"/>
      </w:rPr>
      <w:t>Yuliastrid</w:t>
    </w:r>
    <w:proofErr w:type="spellEnd"/>
    <w:r w:rsidRPr="007C4D6F">
      <w:rPr>
        <w:sz w:val="20"/>
        <w:lang w:val="en-US"/>
      </w:rPr>
      <w:t>, Yudi Dwi Saputra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2335E" w14:textId="1AD1162F" w:rsidR="00FB72F6" w:rsidRPr="007C4D6F" w:rsidRDefault="007C4D6F" w:rsidP="007C4D6F">
    <w:pPr>
      <w:pStyle w:val="Header"/>
      <w:jc w:val="center"/>
    </w:pPr>
    <w:proofErr w:type="spellStart"/>
    <w:r w:rsidRPr="007C4D6F">
      <w:rPr>
        <w:sz w:val="20"/>
      </w:rPr>
      <w:t>Perbedaan</w:t>
    </w:r>
    <w:proofErr w:type="spellEnd"/>
    <w:r w:rsidRPr="007C4D6F">
      <w:rPr>
        <w:sz w:val="20"/>
      </w:rPr>
      <w:t xml:space="preserve"> Tingkat </w:t>
    </w:r>
    <w:proofErr w:type="spellStart"/>
    <w:r w:rsidRPr="007C4D6F">
      <w:rPr>
        <w:sz w:val="20"/>
      </w:rPr>
      <w:t>Keterampilan</w:t>
    </w:r>
    <w:proofErr w:type="spellEnd"/>
    <w:r w:rsidRPr="007C4D6F">
      <w:rPr>
        <w:sz w:val="20"/>
      </w:rPr>
      <w:t xml:space="preserve"> </w:t>
    </w:r>
    <w:proofErr w:type="spellStart"/>
    <w:r w:rsidRPr="007C4D6F">
      <w:rPr>
        <w:sz w:val="20"/>
      </w:rPr>
      <w:t>Motorik</w:t>
    </w:r>
    <w:proofErr w:type="spellEnd"/>
    <w:r w:rsidRPr="007C4D6F">
      <w:rPr>
        <w:sz w:val="20"/>
      </w:rPr>
      <w:t xml:space="preserve"> </w:t>
    </w:r>
    <w:proofErr w:type="spellStart"/>
    <w:r w:rsidRPr="007C4D6F">
      <w:rPr>
        <w:sz w:val="20"/>
      </w:rPr>
      <w:t>Kasar</w:t>
    </w:r>
    <w:proofErr w:type="spellEnd"/>
    <w:r w:rsidRPr="007C4D6F">
      <w:rPr>
        <w:sz w:val="20"/>
      </w:rPr>
      <w:t xml:space="preserve"> </w:t>
    </w:r>
    <w:proofErr w:type="spellStart"/>
    <w:r w:rsidRPr="007C4D6F">
      <w:rPr>
        <w:sz w:val="20"/>
      </w:rPr>
      <w:t>antara</w:t>
    </w:r>
    <w:proofErr w:type="spellEnd"/>
    <w:r w:rsidRPr="007C4D6F">
      <w:rPr>
        <w:sz w:val="20"/>
      </w:rPr>
      <w:t xml:space="preserve"> </w:t>
    </w:r>
    <w:proofErr w:type="spellStart"/>
    <w:r w:rsidRPr="007C4D6F">
      <w:rPr>
        <w:sz w:val="20"/>
      </w:rPr>
      <w:t>Anak</w:t>
    </w:r>
    <w:proofErr w:type="spellEnd"/>
    <w:r w:rsidRPr="007C4D6F">
      <w:rPr>
        <w:sz w:val="20"/>
      </w:rPr>
      <w:t xml:space="preserve"> yang </w:t>
    </w:r>
    <w:proofErr w:type="spellStart"/>
    <w:r w:rsidRPr="007C4D6F">
      <w:rPr>
        <w:sz w:val="20"/>
      </w:rPr>
      <w:t>Aktif</w:t>
    </w:r>
    <w:proofErr w:type="spellEnd"/>
    <w:r w:rsidRPr="007C4D6F">
      <w:rPr>
        <w:sz w:val="20"/>
      </w:rPr>
      <w:t xml:space="preserve"> </w:t>
    </w:r>
    <w:proofErr w:type="spellStart"/>
    <w:r w:rsidRPr="007C4D6F">
      <w:rPr>
        <w:sz w:val="20"/>
      </w:rPr>
      <w:t>Mengikuti</w:t>
    </w:r>
    <w:proofErr w:type="spellEnd"/>
    <w:r w:rsidRPr="007C4D6F">
      <w:rPr>
        <w:sz w:val="20"/>
      </w:rPr>
      <w:t xml:space="preserve"> </w:t>
    </w:r>
    <w:proofErr w:type="spellStart"/>
    <w:r w:rsidRPr="007C4D6F">
      <w:rPr>
        <w:sz w:val="20"/>
      </w:rPr>
      <w:t>Ekstrakurikuler</w:t>
    </w:r>
    <w:proofErr w:type="spellEnd"/>
    <w:r w:rsidRPr="007C4D6F">
      <w:rPr>
        <w:sz w:val="20"/>
      </w:rPr>
      <w:t xml:space="preserve"> </w:t>
    </w:r>
    <w:proofErr w:type="spellStart"/>
    <w:r w:rsidRPr="007C4D6F">
      <w:rPr>
        <w:sz w:val="20"/>
      </w:rPr>
      <w:t>Olahraga</w:t>
    </w:r>
    <w:proofErr w:type="spellEnd"/>
    <w:r w:rsidRPr="007C4D6F">
      <w:rPr>
        <w:sz w:val="20"/>
      </w:rPr>
      <w:t xml:space="preserve"> </w:t>
    </w:r>
    <w:proofErr w:type="spellStart"/>
    <w:r w:rsidRPr="007C4D6F">
      <w:rPr>
        <w:sz w:val="20"/>
      </w:rPr>
      <w:t>dan</w:t>
    </w:r>
    <w:proofErr w:type="spellEnd"/>
    <w:r w:rsidRPr="007C4D6F">
      <w:rPr>
        <w:sz w:val="20"/>
      </w:rPr>
      <w:t xml:space="preserve"> yang </w:t>
    </w:r>
    <w:proofErr w:type="spellStart"/>
    <w:r w:rsidRPr="007C4D6F">
      <w:rPr>
        <w:sz w:val="20"/>
      </w:rPr>
      <w:t>Tidak</w:t>
    </w:r>
    <w:proofErr w:type="spellEnd"/>
    <w:r w:rsidRPr="007C4D6F">
      <w:rPr>
        <w:sz w:val="20"/>
      </w:rPr>
      <w:t xml:space="preserve"> </w:t>
    </w:r>
    <w:proofErr w:type="spellStart"/>
    <w:r w:rsidRPr="007C4D6F">
      <w:rPr>
        <w:sz w:val="20"/>
      </w:rPr>
      <w:t>Mengikuti</w:t>
    </w:r>
    <w:proofErr w:type="spellEnd"/>
    <w:r w:rsidRPr="007C4D6F">
      <w:rPr>
        <w:sz w:val="20"/>
      </w:rPr>
      <w:t xml:space="preserve"> di SDI Al-</w:t>
    </w:r>
    <w:proofErr w:type="spellStart"/>
    <w:r w:rsidRPr="007C4D6F">
      <w:rPr>
        <w:sz w:val="20"/>
      </w:rPr>
      <w:t>Chusnaini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260E" w14:textId="544560A4" w:rsidR="00D625C5" w:rsidRPr="00D625C5" w:rsidRDefault="001A4067" w:rsidP="00D625C5">
    <w:pPr>
      <w:pStyle w:val="Header"/>
      <w:tabs>
        <w:tab w:val="clear" w:pos="9270"/>
        <w:tab w:val="left" w:pos="4965"/>
      </w:tabs>
      <w:spacing w:line="240" w:lineRule="auto"/>
      <w:rPr>
        <w:b/>
        <w:bCs/>
        <w:i w:val="0"/>
        <w:iCs/>
        <w:sz w:val="20"/>
      </w:rPr>
    </w:pPr>
    <w:r>
      <w:rPr>
        <w:noProof/>
        <w:lang w:val="en-US" w:eastAsia="en-US"/>
      </w:rPr>
      <w:drawing>
        <wp:anchor distT="0" distB="0" distL="114300" distR="114300" simplePos="0" relativeHeight="251658240" behindDoc="1" locked="0" layoutInCell="1" allowOverlap="1" wp14:anchorId="46A07538" wp14:editId="50033F29">
          <wp:simplePos x="0" y="0"/>
          <wp:positionH relativeFrom="column">
            <wp:posOffset>3733800</wp:posOffset>
          </wp:positionH>
          <wp:positionV relativeFrom="paragraph">
            <wp:posOffset>-128270</wp:posOffset>
          </wp:positionV>
          <wp:extent cx="1975609" cy="720000"/>
          <wp:effectExtent l="0" t="0" r="5715" b="4445"/>
          <wp:wrapNone/>
          <wp:docPr id="101186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138" r="222" b="32313"/>
                  <a:stretch/>
                </pic:blipFill>
                <pic:spPr bwMode="auto">
                  <a:xfrm>
                    <a:off x="0" y="0"/>
                    <a:ext cx="1975609"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4067">
      <w:rPr>
        <w:b/>
        <w:bCs/>
        <w:i w:val="0"/>
        <w:iCs/>
        <w:sz w:val="20"/>
      </w:rPr>
      <w:t>Bravo's: Journal of Physical Education and Sport Science</w:t>
    </w:r>
  </w:p>
  <w:p w14:paraId="51AE499A" w14:textId="6D9DD8F2" w:rsidR="00FB72F6" w:rsidRPr="00B4201B" w:rsidRDefault="00FB72F6" w:rsidP="00ED1A19">
    <w:pPr>
      <w:pStyle w:val="Header"/>
      <w:spacing w:line="240" w:lineRule="auto"/>
      <w:rPr>
        <w:i w:val="0"/>
        <w:iCs/>
        <w:sz w:val="20"/>
        <w:lang w:val="en-US"/>
      </w:rPr>
    </w:pPr>
    <w:proofErr w:type="spellStart"/>
    <w:r w:rsidRPr="00B4201B">
      <w:rPr>
        <w:i w:val="0"/>
        <w:iCs/>
        <w:sz w:val="20"/>
      </w:rPr>
      <w:t>Vol</w:t>
    </w:r>
    <w:proofErr w:type="spellEnd"/>
    <w:r w:rsidRPr="00B4201B">
      <w:rPr>
        <w:i w:val="0"/>
        <w:iCs/>
        <w:sz w:val="20"/>
        <w:lang w:val="id-ID"/>
      </w:rPr>
      <w:t>ume</w:t>
    </w:r>
    <w:r w:rsidRPr="00B4201B">
      <w:rPr>
        <w:i w:val="0"/>
        <w:iCs/>
        <w:sz w:val="20"/>
      </w:rPr>
      <w:t xml:space="preserve"> </w:t>
    </w:r>
    <w:r w:rsidR="00B350A9">
      <w:rPr>
        <w:i w:val="0"/>
        <w:iCs/>
        <w:sz w:val="20"/>
        <w:lang w:val="en-US"/>
      </w:rPr>
      <w:t>1</w:t>
    </w:r>
    <w:r w:rsidR="004E628F">
      <w:rPr>
        <w:i w:val="0"/>
        <w:iCs/>
        <w:sz w:val="20"/>
        <w:lang w:val="en-US"/>
      </w:rPr>
      <w:t>3</w:t>
    </w:r>
    <w:r w:rsidRPr="00B4201B">
      <w:rPr>
        <w:i w:val="0"/>
        <w:iCs/>
        <w:sz w:val="20"/>
      </w:rPr>
      <w:t xml:space="preserve"> </w:t>
    </w:r>
    <w:r w:rsidR="001A4067">
      <w:rPr>
        <w:i w:val="0"/>
        <w:iCs/>
        <w:sz w:val="20"/>
        <w:lang w:val="id-ID"/>
      </w:rPr>
      <w:t>Issue</w:t>
    </w:r>
    <w:r w:rsidR="000940DB">
      <w:rPr>
        <w:i w:val="0"/>
        <w:iCs/>
        <w:sz w:val="20"/>
        <w:lang w:val="en-US"/>
      </w:rPr>
      <w:t xml:space="preserve"> </w:t>
    </w:r>
    <w:r w:rsidR="005C53F2">
      <w:rPr>
        <w:i w:val="0"/>
        <w:iCs/>
        <w:sz w:val="20"/>
        <w:lang w:val="en-US"/>
      </w:rPr>
      <w:t>4</w:t>
    </w:r>
    <w:r w:rsidR="0005166E" w:rsidRPr="00B4201B">
      <w:rPr>
        <w:i w:val="0"/>
        <w:iCs/>
        <w:sz w:val="20"/>
        <w:lang w:val="en-US"/>
      </w:rPr>
      <w:t xml:space="preserve">, </w:t>
    </w:r>
    <w:r w:rsidR="005C53F2">
      <w:rPr>
        <w:i w:val="0"/>
        <w:iCs/>
        <w:sz w:val="20"/>
        <w:lang w:val="en-US"/>
      </w:rPr>
      <w:t>December</w:t>
    </w:r>
    <w:bookmarkStart w:id="0" w:name="_GoBack"/>
    <w:bookmarkEnd w:id="0"/>
    <w:r w:rsidR="004E628F">
      <w:rPr>
        <w:i w:val="0"/>
        <w:iCs/>
        <w:sz w:val="20"/>
        <w:lang w:val="en-US"/>
      </w:rPr>
      <w:t xml:space="preserve"> 2025</w:t>
    </w:r>
    <w:r w:rsidRPr="00B4201B">
      <w:rPr>
        <w:i w:val="0"/>
        <w:iCs/>
        <w:sz w:val="20"/>
      </w:rPr>
      <w:t xml:space="preserve">, </w:t>
    </w:r>
    <w:r w:rsidRPr="00B4201B">
      <w:rPr>
        <w:i w:val="0"/>
        <w:iCs/>
        <w:sz w:val="20"/>
        <w:lang w:val="id-ID"/>
      </w:rPr>
      <w:t>pp</w:t>
    </w:r>
    <w:r w:rsidR="0005166E" w:rsidRPr="00B4201B">
      <w:rPr>
        <w:i w:val="0"/>
        <w:iCs/>
        <w:sz w:val="20"/>
        <w:lang w:val="en-US"/>
      </w:rPr>
      <w:t>:</w:t>
    </w:r>
    <w:r w:rsidR="007C4D6F">
      <w:rPr>
        <w:i w:val="0"/>
        <w:iCs/>
        <w:sz w:val="20"/>
        <w:lang w:val="en-US"/>
      </w:rPr>
      <w:t>816</w:t>
    </w:r>
    <w:r w:rsidR="006D5CCE" w:rsidRPr="00B4201B">
      <w:rPr>
        <w:i w:val="0"/>
        <w:iCs/>
        <w:sz w:val="20"/>
        <w:lang w:val="en-US"/>
      </w:rPr>
      <w:t>-</w:t>
    </w:r>
    <w:r w:rsidR="007C4D6F">
      <w:rPr>
        <w:i w:val="0"/>
        <w:iCs/>
        <w:sz w:val="20"/>
        <w:lang w:val="en-US"/>
      </w:rPr>
      <w:t>824</w:t>
    </w:r>
  </w:p>
  <w:p w14:paraId="264A6872" w14:textId="41939037" w:rsidR="00FB72F6" w:rsidRPr="00B4201B" w:rsidRDefault="00FB72F6" w:rsidP="00ED1A19">
    <w:pPr>
      <w:pStyle w:val="Header"/>
      <w:spacing w:line="240" w:lineRule="auto"/>
      <w:rPr>
        <w:sz w:val="20"/>
      </w:rPr>
    </w:pPr>
    <w:r w:rsidRPr="00B4201B">
      <w:rPr>
        <w:sz w:val="20"/>
      </w:rPr>
      <w:t xml:space="preserve">E-ISSN: </w:t>
    </w:r>
    <w:r w:rsidR="0005166E" w:rsidRPr="00B4201B">
      <w:rPr>
        <w:sz w:val="20"/>
      </w:rPr>
      <w:t>2597-677X</w:t>
    </w:r>
    <w:r w:rsidRPr="00B4201B">
      <w:rPr>
        <w:sz w:val="20"/>
      </w:rPr>
      <w:t xml:space="preserve">; P-ISSN: </w:t>
    </w:r>
    <w:r w:rsidRPr="00B4201B">
      <w:rPr>
        <w:bCs/>
        <w:sz w:val="20"/>
      </w:rPr>
      <w:t> </w:t>
    </w:r>
    <w:r w:rsidR="0005166E" w:rsidRPr="00B4201B">
      <w:rPr>
        <w:bCs/>
        <w:sz w:val="20"/>
      </w:rPr>
      <w:t>2337-7674</w:t>
    </w:r>
  </w:p>
  <w:p w14:paraId="0F95AC8B" w14:textId="0B103B71" w:rsidR="00FB72F6" w:rsidRPr="001A4067" w:rsidRDefault="00FB72F6" w:rsidP="005C53F2">
    <w:pPr>
      <w:pStyle w:val="Header"/>
      <w:spacing w:line="240" w:lineRule="auto"/>
      <w:jc w:val="left"/>
      <w:rPr>
        <w:i w:val="0"/>
        <w:iCs/>
        <w:sz w:val="20"/>
        <w:lang w:val="en-US"/>
      </w:rPr>
    </w:pPr>
    <w:r w:rsidRPr="001A4067">
      <w:rPr>
        <w:i w:val="0"/>
        <w:iCs/>
        <w:sz w:val="20"/>
        <w:lang w:val="id-ID"/>
      </w:rPr>
      <w:t>DOI:</w:t>
    </w:r>
    <w:r w:rsidRPr="001A4067">
      <w:rPr>
        <w:i w:val="0"/>
        <w:iCs/>
        <w:color w:val="0070C0"/>
        <w:sz w:val="20"/>
        <w:lang w:val="id-ID"/>
      </w:rPr>
      <w:t xml:space="preserve"> </w:t>
    </w:r>
    <w:r w:rsidR="005C53F2" w:rsidRPr="005C53F2">
      <w:rPr>
        <w:i w:val="0"/>
        <w:iCs/>
        <w:color w:val="0070C0"/>
        <w:sz w:val="20"/>
        <w:lang w:val="id-ID"/>
      </w:rPr>
      <w:t>https://doi.org/10.32682/4rdjyb92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1EDE"/>
    <w:multiLevelType w:val="multilevel"/>
    <w:tmpl w:val="CAA4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003BF"/>
    <w:multiLevelType w:val="multilevel"/>
    <w:tmpl w:val="D4BA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E4992"/>
    <w:multiLevelType w:val="multilevel"/>
    <w:tmpl w:val="6DC2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E0B42"/>
    <w:multiLevelType w:val="multilevel"/>
    <w:tmpl w:val="4F8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5CBE"/>
    <w:multiLevelType w:val="multilevel"/>
    <w:tmpl w:val="4D6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D58B5"/>
    <w:multiLevelType w:val="multilevel"/>
    <w:tmpl w:val="E3B4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52217"/>
    <w:multiLevelType w:val="multilevel"/>
    <w:tmpl w:val="E4E6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5466E"/>
    <w:multiLevelType w:val="multilevel"/>
    <w:tmpl w:val="4FC2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8907B2"/>
    <w:multiLevelType w:val="hybridMultilevel"/>
    <w:tmpl w:val="BF6C03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DDC28BC"/>
    <w:multiLevelType w:val="multilevel"/>
    <w:tmpl w:val="B7E4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55347B"/>
    <w:multiLevelType w:val="hybridMultilevel"/>
    <w:tmpl w:val="FD040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FD77E63"/>
    <w:multiLevelType w:val="multilevel"/>
    <w:tmpl w:val="C4127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25076E"/>
    <w:multiLevelType w:val="multilevel"/>
    <w:tmpl w:val="800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8672CD"/>
    <w:multiLevelType w:val="multilevel"/>
    <w:tmpl w:val="CC44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4A7B52"/>
    <w:multiLevelType w:val="multilevel"/>
    <w:tmpl w:val="AEA4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13"/>
  </w:num>
  <w:num w:numId="5">
    <w:abstractNumId w:val="6"/>
  </w:num>
  <w:num w:numId="6">
    <w:abstractNumId w:val="3"/>
  </w:num>
  <w:num w:numId="7">
    <w:abstractNumId w:val="8"/>
  </w:num>
  <w:num w:numId="8">
    <w:abstractNumId w:val="0"/>
  </w:num>
  <w:num w:numId="9">
    <w:abstractNumId w:val="4"/>
  </w:num>
  <w:num w:numId="10">
    <w:abstractNumId w:val="11"/>
  </w:num>
  <w:num w:numId="11">
    <w:abstractNumId w:val="5"/>
  </w:num>
  <w:num w:numId="12">
    <w:abstractNumId w:val="2"/>
  </w:num>
  <w:num w:numId="13">
    <w:abstractNumId w:val="12"/>
  </w:num>
  <w:num w:numId="14">
    <w:abstractNumId w:val="14"/>
  </w:num>
  <w:num w:numId="1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U0MzMyMTA0MzY1NzRU0lEKTi0uzszPAykwqQUA47ulhiwAAAA="/>
  </w:docVars>
  <w:rsids>
    <w:rsidRoot w:val="00755ADB"/>
    <w:rsid w:val="00000DE5"/>
    <w:rsid w:val="00011AE6"/>
    <w:rsid w:val="00014069"/>
    <w:rsid w:val="000204DC"/>
    <w:rsid w:val="00026846"/>
    <w:rsid w:val="0003023A"/>
    <w:rsid w:val="00047351"/>
    <w:rsid w:val="0005166E"/>
    <w:rsid w:val="00057198"/>
    <w:rsid w:val="00061565"/>
    <w:rsid w:val="00064884"/>
    <w:rsid w:val="00064DF3"/>
    <w:rsid w:val="00066303"/>
    <w:rsid w:val="00067BBD"/>
    <w:rsid w:val="00071B05"/>
    <w:rsid w:val="00071DA3"/>
    <w:rsid w:val="00072826"/>
    <w:rsid w:val="000822D1"/>
    <w:rsid w:val="00092C87"/>
    <w:rsid w:val="00093E3E"/>
    <w:rsid w:val="000940DB"/>
    <w:rsid w:val="000A11B3"/>
    <w:rsid w:val="000A3DD4"/>
    <w:rsid w:val="000B1F38"/>
    <w:rsid w:val="000C0173"/>
    <w:rsid w:val="000C3167"/>
    <w:rsid w:val="000D31F5"/>
    <w:rsid w:val="000E0BE6"/>
    <w:rsid w:val="000E3707"/>
    <w:rsid w:val="000E5DF5"/>
    <w:rsid w:val="000F4EF5"/>
    <w:rsid w:val="0010143A"/>
    <w:rsid w:val="001028CB"/>
    <w:rsid w:val="00114E78"/>
    <w:rsid w:val="00116DC3"/>
    <w:rsid w:val="001211AB"/>
    <w:rsid w:val="001220EE"/>
    <w:rsid w:val="00125C2E"/>
    <w:rsid w:val="0013389F"/>
    <w:rsid w:val="0013396D"/>
    <w:rsid w:val="00134518"/>
    <w:rsid w:val="001459DB"/>
    <w:rsid w:val="0015067E"/>
    <w:rsid w:val="001524A4"/>
    <w:rsid w:val="00155774"/>
    <w:rsid w:val="00162A6C"/>
    <w:rsid w:val="00164D7E"/>
    <w:rsid w:val="00166C2F"/>
    <w:rsid w:val="00171F06"/>
    <w:rsid w:val="00181B30"/>
    <w:rsid w:val="00186A2D"/>
    <w:rsid w:val="00190C67"/>
    <w:rsid w:val="001A06C4"/>
    <w:rsid w:val="001A36A9"/>
    <w:rsid w:val="001A4067"/>
    <w:rsid w:val="001C1239"/>
    <w:rsid w:val="001D575A"/>
    <w:rsid w:val="001E479F"/>
    <w:rsid w:val="001F0FEB"/>
    <w:rsid w:val="001F260F"/>
    <w:rsid w:val="001F48D2"/>
    <w:rsid w:val="00215271"/>
    <w:rsid w:val="0022490B"/>
    <w:rsid w:val="00232BC1"/>
    <w:rsid w:val="002366B1"/>
    <w:rsid w:val="002422D5"/>
    <w:rsid w:val="00243AC8"/>
    <w:rsid w:val="0024468F"/>
    <w:rsid w:val="00254A64"/>
    <w:rsid w:val="00263A1D"/>
    <w:rsid w:val="002671AC"/>
    <w:rsid w:val="00275558"/>
    <w:rsid w:val="002767CD"/>
    <w:rsid w:val="002772CF"/>
    <w:rsid w:val="00280B54"/>
    <w:rsid w:val="00287A72"/>
    <w:rsid w:val="002966F5"/>
    <w:rsid w:val="00297581"/>
    <w:rsid w:val="002A2541"/>
    <w:rsid w:val="002A5994"/>
    <w:rsid w:val="002A7614"/>
    <w:rsid w:val="002B1AE9"/>
    <w:rsid w:val="002B1FD1"/>
    <w:rsid w:val="002B35B5"/>
    <w:rsid w:val="002E1256"/>
    <w:rsid w:val="002E49A3"/>
    <w:rsid w:val="002F15C9"/>
    <w:rsid w:val="002F4C28"/>
    <w:rsid w:val="002F57DA"/>
    <w:rsid w:val="002F5C45"/>
    <w:rsid w:val="002F6B5B"/>
    <w:rsid w:val="00305CD2"/>
    <w:rsid w:val="003100B5"/>
    <w:rsid w:val="00320220"/>
    <w:rsid w:val="0032266A"/>
    <w:rsid w:val="00325DEF"/>
    <w:rsid w:val="003316C9"/>
    <w:rsid w:val="00333160"/>
    <w:rsid w:val="00333B79"/>
    <w:rsid w:val="00336CA3"/>
    <w:rsid w:val="00342D00"/>
    <w:rsid w:val="00346DD8"/>
    <w:rsid w:val="003567A4"/>
    <w:rsid w:val="00356D38"/>
    <w:rsid w:val="003613DE"/>
    <w:rsid w:val="003753A6"/>
    <w:rsid w:val="0037728A"/>
    <w:rsid w:val="00391E56"/>
    <w:rsid w:val="003941D4"/>
    <w:rsid w:val="003957BF"/>
    <w:rsid w:val="003B2BDA"/>
    <w:rsid w:val="003B3775"/>
    <w:rsid w:val="003C1968"/>
    <w:rsid w:val="003E33AA"/>
    <w:rsid w:val="003E4A91"/>
    <w:rsid w:val="003E4D32"/>
    <w:rsid w:val="003E75DC"/>
    <w:rsid w:val="003F0063"/>
    <w:rsid w:val="004035D1"/>
    <w:rsid w:val="00406AE5"/>
    <w:rsid w:val="00415C96"/>
    <w:rsid w:val="00431087"/>
    <w:rsid w:val="00436FEE"/>
    <w:rsid w:val="004462D8"/>
    <w:rsid w:val="00447554"/>
    <w:rsid w:val="00451517"/>
    <w:rsid w:val="0045323D"/>
    <w:rsid w:val="00456C92"/>
    <w:rsid w:val="004617A8"/>
    <w:rsid w:val="00466664"/>
    <w:rsid w:val="0046700C"/>
    <w:rsid w:val="00481585"/>
    <w:rsid w:val="00481AE1"/>
    <w:rsid w:val="0048270C"/>
    <w:rsid w:val="00483D8E"/>
    <w:rsid w:val="0048411C"/>
    <w:rsid w:val="00485909"/>
    <w:rsid w:val="00493BF6"/>
    <w:rsid w:val="004A5471"/>
    <w:rsid w:val="004B0719"/>
    <w:rsid w:val="004B1E41"/>
    <w:rsid w:val="004B362D"/>
    <w:rsid w:val="004B5A05"/>
    <w:rsid w:val="004D77C5"/>
    <w:rsid w:val="004D7991"/>
    <w:rsid w:val="004E5DDA"/>
    <w:rsid w:val="004E5FCB"/>
    <w:rsid w:val="004E628F"/>
    <w:rsid w:val="004F32E3"/>
    <w:rsid w:val="005010C2"/>
    <w:rsid w:val="00501EBD"/>
    <w:rsid w:val="00506CC8"/>
    <w:rsid w:val="00531C6C"/>
    <w:rsid w:val="00534962"/>
    <w:rsid w:val="00540C1B"/>
    <w:rsid w:val="00552DBA"/>
    <w:rsid w:val="00555A93"/>
    <w:rsid w:val="00574294"/>
    <w:rsid w:val="00581931"/>
    <w:rsid w:val="00597814"/>
    <w:rsid w:val="005B22D6"/>
    <w:rsid w:val="005B373A"/>
    <w:rsid w:val="005B46F9"/>
    <w:rsid w:val="005C2833"/>
    <w:rsid w:val="005C2849"/>
    <w:rsid w:val="005C3AD7"/>
    <w:rsid w:val="005C50CB"/>
    <w:rsid w:val="005C53F2"/>
    <w:rsid w:val="005C6D92"/>
    <w:rsid w:val="005C6F9B"/>
    <w:rsid w:val="005D566E"/>
    <w:rsid w:val="005D5CF9"/>
    <w:rsid w:val="005E1162"/>
    <w:rsid w:val="005E1F82"/>
    <w:rsid w:val="005E28F6"/>
    <w:rsid w:val="005E6857"/>
    <w:rsid w:val="005F297A"/>
    <w:rsid w:val="005F6171"/>
    <w:rsid w:val="006159BD"/>
    <w:rsid w:val="006168A4"/>
    <w:rsid w:val="00616E99"/>
    <w:rsid w:val="00621236"/>
    <w:rsid w:val="006231D6"/>
    <w:rsid w:val="00624369"/>
    <w:rsid w:val="006254D7"/>
    <w:rsid w:val="00646102"/>
    <w:rsid w:val="00660F79"/>
    <w:rsid w:val="00661249"/>
    <w:rsid w:val="00662455"/>
    <w:rsid w:val="00662F14"/>
    <w:rsid w:val="00666A99"/>
    <w:rsid w:val="00675FA4"/>
    <w:rsid w:val="006813A4"/>
    <w:rsid w:val="006830F5"/>
    <w:rsid w:val="00690750"/>
    <w:rsid w:val="00690CEF"/>
    <w:rsid w:val="00692EA6"/>
    <w:rsid w:val="00696CF5"/>
    <w:rsid w:val="006A186B"/>
    <w:rsid w:val="006A2D46"/>
    <w:rsid w:val="006A31B9"/>
    <w:rsid w:val="006A680E"/>
    <w:rsid w:val="006B06CB"/>
    <w:rsid w:val="006B0DC2"/>
    <w:rsid w:val="006B49D5"/>
    <w:rsid w:val="006B6EA1"/>
    <w:rsid w:val="006B7750"/>
    <w:rsid w:val="006C3C0C"/>
    <w:rsid w:val="006D5CCE"/>
    <w:rsid w:val="006E5758"/>
    <w:rsid w:val="006E6ADE"/>
    <w:rsid w:val="006E6CBC"/>
    <w:rsid w:val="006F4E6A"/>
    <w:rsid w:val="00700C8D"/>
    <w:rsid w:val="00700F42"/>
    <w:rsid w:val="007015B1"/>
    <w:rsid w:val="007016F1"/>
    <w:rsid w:val="007140E2"/>
    <w:rsid w:val="00726104"/>
    <w:rsid w:val="00733184"/>
    <w:rsid w:val="00736009"/>
    <w:rsid w:val="007456E6"/>
    <w:rsid w:val="0074769F"/>
    <w:rsid w:val="00752CE4"/>
    <w:rsid w:val="00755ADB"/>
    <w:rsid w:val="00756DF2"/>
    <w:rsid w:val="00762F6A"/>
    <w:rsid w:val="00774766"/>
    <w:rsid w:val="007866E5"/>
    <w:rsid w:val="00792C4B"/>
    <w:rsid w:val="0079744A"/>
    <w:rsid w:val="007B7A70"/>
    <w:rsid w:val="007C4D6F"/>
    <w:rsid w:val="007D3B57"/>
    <w:rsid w:val="007D3D12"/>
    <w:rsid w:val="007D5152"/>
    <w:rsid w:val="007D53D3"/>
    <w:rsid w:val="007E0810"/>
    <w:rsid w:val="007E7BB8"/>
    <w:rsid w:val="008101E9"/>
    <w:rsid w:val="0081239E"/>
    <w:rsid w:val="0081739A"/>
    <w:rsid w:val="00823057"/>
    <w:rsid w:val="008262D4"/>
    <w:rsid w:val="0082682D"/>
    <w:rsid w:val="00827261"/>
    <w:rsid w:val="008556F1"/>
    <w:rsid w:val="00863682"/>
    <w:rsid w:val="008637BD"/>
    <w:rsid w:val="00864E2C"/>
    <w:rsid w:val="008665EF"/>
    <w:rsid w:val="008712EE"/>
    <w:rsid w:val="00871853"/>
    <w:rsid w:val="00874FF8"/>
    <w:rsid w:val="00883398"/>
    <w:rsid w:val="00887685"/>
    <w:rsid w:val="00891C1A"/>
    <w:rsid w:val="00895A6B"/>
    <w:rsid w:val="008A5C4B"/>
    <w:rsid w:val="008B62E4"/>
    <w:rsid w:val="008C6849"/>
    <w:rsid w:val="008D5A3E"/>
    <w:rsid w:val="008D61A4"/>
    <w:rsid w:val="008E7E3F"/>
    <w:rsid w:val="0090198B"/>
    <w:rsid w:val="00902C15"/>
    <w:rsid w:val="00911328"/>
    <w:rsid w:val="00916515"/>
    <w:rsid w:val="0092169F"/>
    <w:rsid w:val="00924F18"/>
    <w:rsid w:val="00933E9F"/>
    <w:rsid w:val="0093495C"/>
    <w:rsid w:val="00941B8B"/>
    <w:rsid w:val="0095081D"/>
    <w:rsid w:val="00952937"/>
    <w:rsid w:val="00953D52"/>
    <w:rsid w:val="00962326"/>
    <w:rsid w:val="00976D2D"/>
    <w:rsid w:val="00976E9F"/>
    <w:rsid w:val="0097732E"/>
    <w:rsid w:val="00985D25"/>
    <w:rsid w:val="009907C7"/>
    <w:rsid w:val="00992462"/>
    <w:rsid w:val="009A3EDB"/>
    <w:rsid w:val="009A6479"/>
    <w:rsid w:val="009C4378"/>
    <w:rsid w:val="009E0977"/>
    <w:rsid w:val="009E62F6"/>
    <w:rsid w:val="00A01378"/>
    <w:rsid w:val="00A020CF"/>
    <w:rsid w:val="00A044E7"/>
    <w:rsid w:val="00A12853"/>
    <w:rsid w:val="00A21155"/>
    <w:rsid w:val="00A23540"/>
    <w:rsid w:val="00A25539"/>
    <w:rsid w:val="00A26118"/>
    <w:rsid w:val="00A30928"/>
    <w:rsid w:val="00A41A48"/>
    <w:rsid w:val="00A43368"/>
    <w:rsid w:val="00A91301"/>
    <w:rsid w:val="00A96EB2"/>
    <w:rsid w:val="00AA53BB"/>
    <w:rsid w:val="00AC1064"/>
    <w:rsid w:val="00AD2B85"/>
    <w:rsid w:val="00AE2AC2"/>
    <w:rsid w:val="00AE4DB3"/>
    <w:rsid w:val="00AF6D8F"/>
    <w:rsid w:val="00B06241"/>
    <w:rsid w:val="00B12AC0"/>
    <w:rsid w:val="00B13692"/>
    <w:rsid w:val="00B20EC4"/>
    <w:rsid w:val="00B31A7F"/>
    <w:rsid w:val="00B350A9"/>
    <w:rsid w:val="00B4201B"/>
    <w:rsid w:val="00B42068"/>
    <w:rsid w:val="00B516CF"/>
    <w:rsid w:val="00B53A03"/>
    <w:rsid w:val="00B572A0"/>
    <w:rsid w:val="00B604AD"/>
    <w:rsid w:val="00B61E73"/>
    <w:rsid w:val="00B62802"/>
    <w:rsid w:val="00B62A6C"/>
    <w:rsid w:val="00B67B40"/>
    <w:rsid w:val="00B84AB5"/>
    <w:rsid w:val="00B94294"/>
    <w:rsid w:val="00B9446C"/>
    <w:rsid w:val="00B96618"/>
    <w:rsid w:val="00B97544"/>
    <w:rsid w:val="00B97A58"/>
    <w:rsid w:val="00BA73F1"/>
    <w:rsid w:val="00BA79F4"/>
    <w:rsid w:val="00BD1923"/>
    <w:rsid w:val="00BD52B0"/>
    <w:rsid w:val="00BD732A"/>
    <w:rsid w:val="00BD752F"/>
    <w:rsid w:val="00BE65AC"/>
    <w:rsid w:val="00BF1E25"/>
    <w:rsid w:val="00C10448"/>
    <w:rsid w:val="00C119ED"/>
    <w:rsid w:val="00C13CE3"/>
    <w:rsid w:val="00C2215B"/>
    <w:rsid w:val="00C2483A"/>
    <w:rsid w:val="00C322F8"/>
    <w:rsid w:val="00C372DB"/>
    <w:rsid w:val="00C4038C"/>
    <w:rsid w:val="00C62B56"/>
    <w:rsid w:val="00C63415"/>
    <w:rsid w:val="00C712D9"/>
    <w:rsid w:val="00C73CB6"/>
    <w:rsid w:val="00C80118"/>
    <w:rsid w:val="00C8160A"/>
    <w:rsid w:val="00C8164B"/>
    <w:rsid w:val="00C90E9E"/>
    <w:rsid w:val="00C933BF"/>
    <w:rsid w:val="00C96FC0"/>
    <w:rsid w:val="00C97EEB"/>
    <w:rsid w:val="00CA0492"/>
    <w:rsid w:val="00CA1175"/>
    <w:rsid w:val="00CA44FC"/>
    <w:rsid w:val="00CB1446"/>
    <w:rsid w:val="00CB173B"/>
    <w:rsid w:val="00CB48CA"/>
    <w:rsid w:val="00CB5B7A"/>
    <w:rsid w:val="00CE232A"/>
    <w:rsid w:val="00CE59E4"/>
    <w:rsid w:val="00CF2E69"/>
    <w:rsid w:val="00D05E63"/>
    <w:rsid w:val="00D10DFB"/>
    <w:rsid w:val="00D11D36"/>
    <w:rsid w:val="00D17B09"/>
    <w:rsid w:val="00D22420"/>
    <w:rsid w:val="00D244AC"/>
    <w:rsid w:val="00D34172"/>
    <w:rsid w:val="00D372EF"/>
    <w:rsid w:val="00D40065"/>
    <w:rsid w:val="00D46C1D"/>
    <w:rsid w:val="00D47CF0"/>
    <w:rsid w:val="00D625C5"/>
    <w:rsid w:val="00D669AA"/>
    <w:rsid w:val="00D755B5"/>
    <w:rsid w:val="00D86AFF"/>
    <w:rsid w:val="00D928EB"/>
    <w:rsid w:val="00D97118"/>
    <w:rsid w:val="00DA4CF8"/>
    <w:rsid w:val="00DC4995"/>
    <w:rsid w:val="00DE225D"/>
    <w:rsid w:val="00DE5786"/>
    <w:rsid w:val="00DF0607"/>
    <w:rsid w:val="00DF69EC"/>
    <w:rsid w:val="00E0250D"/>
    <w:rsid w:val="00E05EF2"/>
    <w:rsid w:val="00E12641"/>
    <w:rsid w:val="00E1486F"/>
    <w:rsid w:val="00E27917"/>
    <w:rsid w:val="00E34B65"/>
    <w:rsid w:val="00E372DD"/>
    <w:rsid w:val="00E46FDB"/>
    <w:rsid w:val="00E47FF6"/>
    <w:rsid w:val="00E52B03"/>
    <w:rsid w:val="00E65293"/>
    <w:rsid w:val="00E7438A"/>
    <w:rsid w:val="00E9248A"/>
    <w:rsid w:val="00E929F6"/>
    <w:rsid w:val="00E949D6"/>
    <w:rsid w:val="00EA6CC1"/>
    <w:rsid w:val="00EB347B"/>
    <w:rsid w:val="00EB7C54"/>
    <w:rsid w:val="00ED1A19"/>
    <w:rsid w:val="00ED7BA3"/>
    <w:rsid w:val="00EE7669"/>
    <w:rsid w:val="00EF5F08"/>
    <w:rsid w:val="00EF72FB"/>
    <w:rsid w:val="00EF7BF2"/>
    <w:rsid w:val="00F00E39"/>
    <w:rsid w:val="00F043F5"/>
    <w:rsid w:val="00F20E87"/>
    <w:rsid w:val="00F228C2"/>
    <w:rsid w:val="00F301E4"/>
    <w:rsid w:val="00F30493"/>
    <w:rsid w:val="00F30F9F"/>
    <w:rsid w:val="00F35287"/>
    <w:rsid w:val="00F366D7"/>
    <w:rsid w:val="00F40790"/>
    <w:rsid w:val="00F41B46"/>
    <w:rsid w:val="00F424A8"/>
    <w:rsid w:val="00F42F65"/>
    <w:rsid w:val="00F43142"/>
    <w:rsid w:val="00F51BF2"/>
    <w:rsid w:val="00F56851"/>
    <w:rsid w:val="00F72B19"/>
    <w:rsid w:val="00F7317C"/>
    <w:rsid w:val="00F74D3B"/>
    <w:rsid w:val="00F764B5"/>
    <w:rsid w:val="00F81D65"/>
    <w:rsid w:val="00F95EA7"/>
    <w:rsid w:val="00FA3B32"/>
    <w:rsid w:val="00FA499E"/>
    <w:rsid w:val="00FB67D6"/>
    <w:rsid w:val="00FB72F6"/>
    <w:rsid w:val="00FC22F0"/>
    <w:rsid w:val="00FC2828"/>
    <w:rsid w:val="00FC61EB"/>
    <w:rsid w:val="00FD277B"/>
    <w:rsid w:val="00FE0CF2"/>
    <w:rsid w:val="00FE39C2"/>
    <w:rsid w:val="00FF3094"/>
    <w:rsid w:val="00FF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BEF14"/>
  <w15:chartTrackingRefBased/>
  <w15:docId w15:val="{F91B55A3-8CEC-9149-BFDC-7F84DD7D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paragraph" w:styleId="Heading4">
    <w:name w:val="heading 4"/>
    <w:basedOn w:val="Normal"/>
    <w:next w:val="Normal"/>
    <w:link w:val="Heading4Char"/>
    <w:semiHidden/>
    <w:unhideWhenUsed/>
    <w:qFormat/>
    <w:rsid w:val="00EF5F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link w:val="FootnoteText"/>
    <w:rsid w:val="00911328"/>
    <w:rPr>
      <w:rFonts w:ascii="Times New Roman" w:hAnsi="Times New Roman"/>
      <w:lang w:val="en-AU"/>
    </w:rPr>
  </w:style>
  <w:style w:type="character" w:styleId="FootnoteReference">
    <w:name w:val="footnote reference"/>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val="en-US"/>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val="en-US"/>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Body of text1,Body of text2,List Paragraph1,kepala 1,Heading 31,Colorful List - Accent 11,kepala 11,kepala 12,Body of text3,kepala 13,List Paragraph11,Colorful List - Accent 111,List Paragraph12,Colorful List - Accent 112"/>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59"/>
    <w:rsid w:val="00297581"/>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7581"/>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297581"/>
    <w:rPr>
      <w:rFonts w:ascii="Tahoma" w:hAnsi="Tahoma" w:cs="Tahoma"/>
      <w:sz w:val="16"/>
      <w:szCs w:val="16"/>
      <w:lang w:val="en-AU" w:eastAsia="tr-TR"/>
    </w:rPr>
  </w:style>
  <w:style w:type="character" w:customStyle="1" w:styleId="ListParagraphChar">
    <w:name w:val="List Paragraph Char"/>
    <w:aliases w:val="Body of text Char,Body of text1 Char,Body of text2 Char,List Paragraph1 Char,kepala 1 Char,Heading 31 Char,Colorful List - Accent 11 Char,kepala 11 Char,kepala 12 Char,Body of text3 Char,kepala 13 Char,List Paragraph11 Char"/>
    <w:link w:val="ListParagraph"/>
    <w:uiPriority w:val="34"/>
    <w:qFormat/>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character" w:styleId="CommentReference">
    <w:name w:val="annotation reference"/>
    <w:uiPriority w:val="99"/>
    <w:semiHidden/>
    <w:unhideWhenUsed/>
    <w:rsid w:val="003753A6"/>
    <w:rPr>
      <w:sz w:val="16"/>
      <w:szCs w:val="16"/>
    </w:rPr>
  </w:style>
  <w:style w:type="paragraph" w:styleId="CommentText">
    <w:name w:val="annotation text"/>
    <w:basedOn w:val="Normal"/>
    <w:link w:val="CommentTextChar"/>
    <w:uiPriority w:val="99"/>
    <w:semiHidden/>
    <w:unhideWhenUsed/>
    <w:rsid w:val="003753A6"/>
    <w:pPr>
      <w:spacing w:before="0" w:after="160" w:line="240" w:lineRule="auto"/>
      <w:jc w:val="left"/>
    </w:pPr>
    <w:rPr>
      <w:rFonts w:ascii="Calibri" w:eastAsia="Calibri" w:hAnsi="Calibri"/>
      <w:sz w:val="20"/>
      <w:lang w:val="x-none" w:eastAsia="x-none"/>
    </w:rPr>
  </w:style>
  <w:style w:type="character" w:customStyle="1" w:styleId="CommentTextChar">
    <w:name w:val="Comment Text Char"/>
    <w:link w:val="CommentText"/>
    <w:uiPriority w:val="99"/>
    <w:semiHidden/>
    <w:rsid w:val="003753A6"/>
    <w:rPr>
      <w:rFonts w:ascii="Calibri" w:eastAsia="Calibri" w:hAnsi="Calibri"/>
      <w:lang w:val="x-none" w:eastAsia="x-none"/>
    </w:rPr>
  </w:style>
  <w:style w:type="paragraph" w:styleId="CommentSubject">
    <w:name w:val="annotation subject"/>
    <w:basedOn w:val="CommentText"/>
    <w:next w:val="CommentText"/>
    <w:link w:val="CommentSubjectChar"/>
    <w:uiPriority w:val="99"/>
    <w:semiHidden/>
    <w:unhideWhenUsed/>
    <w:rsid w:val="003753A6"/>
    <w:rPr>
      <w:b/>
      <w:bCs/>
    </w:rPr>
  </w:style>
  <w:style w:type="character" w:customStyle="1" w:styleId="CommentSubjectChar">
    <w:name w:val="Comment Subject Char"/>
    <w:link w:val="CommentSubject"/>
    <w:uiPriority w:val="99"/>
    <w:semiHidden/>
    <w:rsid w:val="003753A6"/>
    <w:rPr>
      <w:rFonts w:ascii="Calibri" w:eastAsia="Calibri" w:hAnsi="Calibri"/>
      <w:b/>
      <w:bCs/>
      <w:lang w:val="x-none" w:eastAsia="x-none"/>
    </w:rPr>
  </w:style>
  <w:style w:type="character" w:customStyle="1" w:styleId="fontstyle01">
    <w:name w:val="fontstyle01"/>
    <w:rsid w:val="003753A6"/>
    <w:rPr>
      <w:rFonts w:ascii="Times New Roman" w:hAnsi="Times New Roman" w:cs="Times New Roman" w:hint="default"/>
      <w:b w:val="0"/>
      <w:bCs w:val="0"/>
      <w:i w:val="0"/>
      <w:iCs w:val="0"/>
      <w:color w:val="000000"/>
      <w:sz w:val="24"/>
      <w:szCs w:val="24"/>
    </w:rPr>
  </w:style>
  <w:style w:type="character" w:styleId="Strong">
    <w:name w:val="Strong"/>
    <w:uiPriority w:val="22"/>
    <w:qFormat/>
    <w:rsid w:val="00B12AC0"/>
    <w:rPr>
      <w:b/>
      <w:bCs/>
    </w:rPr>
  </w:style>
  <w:style w:type="character" w:customStyle="1" w:styleId="apple-converted-space">
    <w:name w:val="apple-converted-space"/>
    <w:rsid w:val="00976D2D"/>
  </w:style>
  <w:style w:type="character" w:styleId="Emphasis">
    <w:name w:val="Emphasis"/>
    <w:uiPriority w:val="20"/>
    <w:qFormat/>
    <w:rsid w:val="005E28F6"/>
    <w:rPr>
      <w:i/>
      <w:iCs/>
    </w:rPr>
  </w:style>
  <w:style w:type="paragraph" w:styleId="Caption">
    <w:name w:val="caption"/>
    <w:basedOn w:val="Normal"/>
    <w:next w:val="Normal"/>
    <w:uiPriority w:val="35"/>
    <w:unhideWhenUsed/>
    <w:qFormat/>
    <w:rsid w:val="00FB72F6"/>
    <w:pPr>
      <w:spacing w:before="0" w:after="200" w:line="240" w:lineRule="auto"/>
      <w:jc w:val="left"/>
    </w:pPr>
    <w:rPr>
      <w:rFonts w:ascii="Calibri" w:eastAsia="Calibri" w:hAnsi="Calibri"/>
      <w:i/>
      <w:iCs/>
      <w:color w:val="44546A"/>
      <w:sz w:val="18"/>
      <w:szCs w:val="18"/>
      <w:lang w:val="en-PH" w:eastAsia="en-US"/>
    </w:rPr>
  </w:style>
  <w:style w:type="paragraph" w:styleId="Bibliography">
    <w:name w:val="Bibliography"/>
    <w:basedOn w:val="Normal"/>
    <w:next w:val="Normal"/>
    <w:uiPriority w:val="37"/>
    <w:semiHidden/>
    <w:unhideWhenUsed/>
    <w:rsid w:val="00FB72F6"/>
  </w:style>
  <w:style w:type="paragraph" w:customStyle="1" w:styleId="Bibliography1">
    <w:name w:val="Bibliography1"/>
    <w:basedOn w:val="Normal"/>
    <w:next w:val="Normal"/>
    <w:uiPriority w:val="37"/>
    <w:unhideWhenUsed/>
    <w:rsid w:val="000D31F5"/>
    <w:pPr>
      <w:spacing w:before="0" w:after="200" w:line="276" w:lineRule="auto"/>
      <w:jc w:val="left"/>
    </w:pPr>
    <w:rPr>
      <w:rFonts w:ascii="Calibri" w:eastAsia="Calibri" w:hAnsi="Calibri"/>
      <w:sz w:val="22"/>
      <w:szCs w:val="22"/>
      <w:lang w:val="en-US" w:eastAsia="ja-JP"/>
    </w:rPr>
  </w:style>
  <w:style w:type="character" w:customStyle="1" w:styleId="value">
    <w:name w:val="value"/>
    <w:rsid w:val="00320220"/>
  </w:style>
  <w:style w:type="paragraph" w:styleId="BodyTextIndent2">
    <w:name w:val="Body Text Indent 2"/>
    <w:basedOn w:val="Normal"/>
    <w:link w:val="BodyTextIndent2Char"/>
    <w:semiHidden/>
    <w:unhideWhenUsed/>
    <w:rsid w:val="008E7E3F"/>
    <w:pPr>
      <w:spacing w:after="120" w:line="480" w:lineRule="auto"/>
      <w:ind w:left="283"/>
    </w:pPr>
  </w:style>
  <w:style w:type="character" w:customStyle="1" w:styleId="BodyTextIndent2Char">
    <w:name w:val="Body Text Indent 2 Char"/>
    <w:link w:val="BodyTextIndent2"/>
    <w:semiHidden/>
    <w:rsid w:val="008E7E3F"/>
    <w:rPr>
      <w:rFonts w:ascii="Times New Roman" w:hAnsi="Times New Roman"/>
      <w:sz w:val="24"/>
      <w:lang w:val="en-AU" w:eastAsia="tr-TR"/>
    </w:rPr>
  </w:style>
  <w:style w:type="table" w:styleId="PlainTable2">
    <w:name w:val="Plain Table 2"/>
    <w:basedOn w:val="TableNormal"/>
    <w:uiPriority w:val="42"/>
    <w:rsid w:val="00064884"/>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6D5CCE"/>
    <w:rPr>
      <w:rFonts w:ascii="Calibri" w:eastAsia="Calibri" w:hAnsi="Calibri"/>
      <w:sz w:val="22"/>
      <w:szCs w:val="22"/>
      <w:lang w:val="en-US" w:eastAsia="en-US"/>
    </w:rPr>
  </w:style>
  <w:style w:type="character" w:customStyle="1" w:styleId="NoSpacingChar">
    <w:name w:val="No Spacing Char"/>
    <w:link w:val="NoSpacing"/>
    <w:uiPriority w:val="1"/>
    <w:rsid w:val="006D5CCE"/>
    <w:rPr>
      <w:rFonts w:ascii="Calibri" w:eastAsia="Calibri" w:hAnsi="Calibri"/>
      <w:sz w:val="22"/>
      <w:szCs w:val="22"/>
      <w:lang w:val="en-US" w:eastAsia="en-US"/>
    </w:rPr>
  </w:style>
  <w:style w:type="character" w:customStyle="1" w:styleId="UnresolvedMention">
    <w:name w:val="Unresolved Mention"/>
    <w:basedOn w:val="DefaultParagraphFont"/>
    <w:uiPriority w:val="99"/>
    <w:semiHidden/>
    <w:unhideWhenUsed/>
    <w:rsid w:val="00D372EF"/>
    <w:rPr>
      <w:color w:val="605E5C"/>
      <w:shd w:val="clear" w:color="auto" w:fill="E1DFDD"/>
    </w:rPr>
  </w:style>
  <w:style w:type="character" w:customStyle="1" w:styleId="Heading4Char">
    <w:name w:val="Heading 4 Char"/>
    <w:basedOn w:val="DefaultParagraphFont"/>
    <w:link w:val="Heading4"/>
    <w:semiHidden/>
    <w:rsid w:val="00EF5F08"/>
    <w:rPr>
      <w:rFonts w:asciiTheme="majorHAnsi" w:eastAsiaTheme="majorEastAsia" w:hAnsiTheme="majorHAnsi" w:cstheme="majorBidi"/>
      <w:i/>
      <w:iCs/>
      <w:color w:val="2F5496" w:themeColor="accent1" w:themeShade="BF"/>
      <w:sz w:val="24"/>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8435">
      <w:bodyDiv w:val="1"/>
      <w:marLeft w:val="0"/>
      <w:marRight w:val="0"/>
      <w:marTop w:val="0"/>
      <w:marBottom w:val="0"/>
      <w:divBdr>
        <w:top w:val="none" w:sz="0" w:space="0" w:color="auto"/>
        <w:left w:val="none" w:sz="0" w:space="0" w:color="auto"/>
        <w:bottom w:val="none" w:sz="0" w:space="0" w:color="auto"/>
        <w:right w:val="none" w:sz="0" w:space="0" w:color="auto"/>
      </w:divBdr>
    </w:div>
    <w:div w:id="130827902">
      <w:bodyDiv w:val="1"/>
      <w:marLeft w:val="0"/>
      <w:marRight w:val="0"/>
      <w:marTop w:val="0"/>
      <w:marBottom w:val="0"/>
      <w:divBdr>
        <w:top w:val="none" w:sz="0" w:space="0" w:color="auto"/>
        <w:left w:val="none" w:sz="0" w:space="0" w:color="auto"/>
        <w:bottom w:val="none" w:sz="0" w:space="0" w:color="auto"/>
        <w:right w:val="none" w:sz="0" w:space="0" w:color="auto"/>
      </w:divBdr>
    </w:div>
    <w:div w:id="859780882">
      <w:bodyDiv w:val="1"/>
      <w:marLeft w:val="0"/>
      <w:marRight w:val="0"/>
      <w:marTop w:val="0"/>
      <w:marBottom w:val="0"/>
      <w:divBdr>
        <w:top w:val="none" w:sz="0" w:space="0" w:color="auto"/>
        <w:left w:val="none" w:sz="0" w:space="0" w:color="auto"/>
        <w:bottom w:val="none" w:sz="0" w:space="0" w:color="auto"/>
        <w:right w:val="none" w:sz="0" w:space="0" w:color="auto"/>
      </w:divBdr>
    </w:div>
    <w:div w:id="911230701">
      <w:bodyDiv w:val="1"/>
      <w:marLeft w:val="0"/>
      <w:marRight w:val="0"/>
      <w:marTop w:val="0"/>
      <w:marBottom w:val="0"/>
      <w:divBdr>
        <w:top w:val="none" w:sz="0" w:space="0" w:color="auto"/>
        <w:left w:val="none" w:sz="0" w:space="0" w:color="auto"/>
        <w:bottom w:val="none" w:sz="0" w:space="0" w:color="auto"/>
        <w:right w:val="none" w:sz="0" w:space="0" w:color="auto"/>
      </w:divBdr>
    </w:div>
    <w:div w:id="1240796701">
      <w:bodyDiv w:val="1"/>
      <w:marLeft w:val="0"/>
      <w:marRight w:val="0"/>
      <w:marTop w:val="0"/>
      <w:marBottom w:val="0"/>
      <w:divBdr>
        <w:top w:val="none" w:sz="0" w:space="0" w:color="auto"/>
        <w:left w:val="none" w:sz="0" w:space="0" w:color="auto"/>
        <w:bottom w:val="none" w:sz="0" w:space="0" w:color="auto"/>
        <w:right w:val="none" w:sz="0" w:space="0" w:color="auto"/>
      </w:divBdr>
    </w:div>
    <w:div w:id="1290819035">
      <w:bodyDiv w:val="1"/>
      <w:marLeft w:val="0"/>
      <w:marRight w:val="0"/>
      <w:marTop w:val="0"/>
      <w:marBottom w:val="0"/>
      <w:divBdr>
        <w:top w:val="none" w:sz="0" w:space="0" w:color="auto"/>
        <w:left w:val="none" w:sz="0" w:space="0" w:color="auto"/>
        <w:bottom w:val="none" w:sz="0" w:space="0" w:color="auto"/>
        <w:right w:val="none" w:sz="0" w:space="0" w:color="auto"/>
      </w:divBdr>
    </w:div>
    <w:div w:id="20167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i.22045@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E591-A150-489B-A56E-B38309AE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15372</Words>
  <Characters>87625</Characters>
  <Application>Microsoft Office Word</Application>
  <DocSecurity>0</DocSecurity>
  <Lines>730</Lines>
  <Paragraphs>205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102792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subject/>
  <dc:creator>icpres</dc:creator>
  <cp:keywords/>
  <cp:lastModifiedBy>Anonymous</cp:lastModifiedBy>
  <cp:revision>4</cp:revision>
  <cp:lastPrinted>2020-10-06T10:49:00Z</cp:lastPrinted>
  <dcterms:created xsi:type="dcterms:W3CDTF">2025-10-22T05:02:00Z</dcterms:created>
  <dcterms:modified xsi:type="dcterms:W3CDTF">2026-01-22T02:20:00Z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bb62d662-a908-479a-a43f-2c6c5b6c785d</vt:lpwstr>
  </property>
  <property fmtid="{D5CDD505-2E9C-101B-9397-08002B2CF9AE}" pid="3" name="Mendeley Document_1">
    <vt:lpwstr>True</vt:lpwstr>
  </property>
  <property fmtid="{D5CDD505-2E9C-101B-9397-08002B2CF9AE}" pid="4" name="Mendeley Unique User Id_1">
    <vt:lpwstr>e6ae449c-06c7-3072-b23d-4cce2a323939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